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D878C" w14:textId="4EA30DE8" w:rsidR="00F20610" w:rsidRPr="00276C32" w:rsidRDefault="00F20610" w:rsidP="00F20610">
      <w:pPr>
        <w:pStyle w:val="Encabezado"/>
        <w:jc w:val="both"/>
        <w:rPr>
          <w:rFonts w:ascii="Arial" w:hAnsi="Arial" w:cs="Arial"/>
          <w:color w:val="000000" w:themeColor="text1"/>
          <w:lang w:val="es-MX"/>
        </w:rPr>
      </w:pPr>
      <w:r w:rsidRPr="00276C32">
        <w:rPr>
          <w:rFonts w:ascii="Arial" w:hAnsi="Arial" w:cs="Arial"/>
          <w:color w:val="000000" w:themeColor="text1"/>
          <w:lang w:val="es-MX"/>
        </w:rPr>
        <w:t xml:space="preserve">Cota Cundinamarca, </w:t>
      </w:r>
      <w:r w:rsidR="0089191A" w:rsidRPr="00276C32">
        <w:rPr>
          <w:rFonts w:ascii="Arial" w:hAnsi="Arial" w:cs="Arial"/>
          <w:color w:val="000000" w:themeColor="text1"/>
          <w:lang w:val="es-MX"/>
        </w:rPr>
        <w:t>1</w:t>
      </w:r>
      <w:bookmarkStart w:id="0" w:name="_GoBack"/>
      <w:bookmarkEnd w:id="0"/>
      <w:r w:rsidR="00CF0253" w:rsidRPr="00276C32">
        <w:rPr>
          <w:rFonts w:ascii="Arial" w:hAnsi="Arial" w:cs="Arial"/>
          <w:color w:val="000000" w:themeColor="text1"/>
          <w:lang w:val="es-MX"/>
        </w:rPr>
        <w:t>7</w:t>
      </w:r>
      <w:r w:rsidR="002742BF">
        <w:rPr>
          <w:rFonts w:ascii="Arial" w:hAnsi="Arial" w:cs="Arial"/>
          <w:color w:val="000000" w:themeColor="text1"/>
          <w:lang w:val="es-MX"/>
        </w:rPr>
        <w:t xml:space="preserve"> de mayo</w:t>
      </w:r>
      <w:r w:rsidRPr="00276C32">
        <w:rPr>
          <w:rFonts w:ascii="Arial" w:hAnsi="Arial" w:cs="Arial"/>
          <w:color w:val="000000" w:themeColor="text1"/>
          <w:lang w:val="es-MX"/>
        </w:rPr>
        <w:t xml:space="preserve"> de 202</w:t>
      </w:r>
      <w:r w:rsidR="002742BF">
        <w:rPr>
          <w:rFonts w:ascii="Arial" w:hAnsi="Arial" w:cs="Arial"/>
          <w:color w:val="000000" w:themeColor="text1"/>
          <w:lang w:val="es-MX"/>
        </w:rPr>
        <w:t>3</w:t>
      </w:r>
    </w:p>
    <w:p w14:paraId="7C7D72B6" w14:textId="77777777" w:rsidR="00757DE4" w:rsidRPr="00276C32" w:rsidRDefault="00757DE4" w:rsidP="00F20610">
      <w:pPr>
        <w:pStyle w:val="Encabezado"/>
        <w:jc w:val="both"/>
        <w:rPr>
          <w:rFonts w:ascii="Arial" w:hAnsi="Arial" w:cs="Arial"/>
          <w:color w:val="000000" w:themeColor="text1"/>
          <w:lang w:val="es-MX"/>
        </w:rPr>
      </w:pPr>
    </w:p>
    <w:p w14:paraId="0D7C7B32" w14:textId="77777777" w:rsidR="00254F7B" w:rsidRPr="00276C32" w:rsidRDefault="00254F7B" w:rsidP="00F20610">
      <w:pPr>
        <w:pStyle w:val="Encabezado"/>
        <w:jc w:val="both"/>
        <w:rPr>
          <w:rFonts w:ascii="Arial" w:hAnsi="Arial" w:cs="Arial"/>
          <w:color w:val="000000" w:themeColor="text1"/>
          <w:lang w:val="es-MX"/>
        </w:rPr>
      </w:pPr>
    </w:p>
    <w:p w14:paraId="13A859E1" w14:textId="76B38287" w:rsidR="00F20610" w:rsidRPr="00276C32" w:rsidRDefault="00F20610" w:rsidP="00F20610">
      <w:pPr>
        <w:pStyle w:val="Puesto"/>
        <w:rPr>
          <w:rFonts w:ascii="Arial" w:hAnsi="Arial" w:cs="Arial"/>
          <w:color w:val="000000" w:themeColor="text1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76C32">
        <w:rPr>
          <w:rFonts w:ascii="Arial" w:hAnsi="Arial" w:cs="Arial"/>
          <w:color w:val="000000" w:themeColor="text1"/>
        </w:rPr>
        <w:t>ADENDA No. 00</w:t>
      </w:r>
      <w:r w:rsidR="003D05BB">
        <w:rPr>
          <w:rFonts w:ascii="Arial" w:hAnsi="Arial" w:cs="Arial"/>
          <w:color w:val="000000" w:themeColor="text1"/>
        </w:rPr>
        <w:t>1</w:t>
      </w:r>
    </w:p>
    <w:p w14:paraId="3C8CD9D7" w14:textId="6A7FFD81" w:rsidR="00F20610" w:rsidRPr="00276C32" w:rsidRDefault="00F20610" w:rsidP="00F20610">
      <w:pPr>
        <w:pStyle w:val="Encabezado"/>
        <w:jc w:val="center"/>
        <w:rPr>
          <w:rFonts w:ascii="Arial" w:hAnsi="Arial" w:cs="Arial"/>
          <w:b/>
          <w:bCs/>
          <w:color w:val="000000" w:themeColor="text1"/>
          <w:lang w:val="es-MX"/>
        </w:rPr>
      </w:pPr>
      <w:r w:rsidRPr="00276C32">
        <w:rPr>
          <w:rFonts w:ascii="Arial" w:hAnsi="Arial" w:cs="Arial"/>
          <w:b/>
          <w:bCs/>
          <w:color w:val="000000" w:themeColor="text1"/>
          <w:lang w:val="es-MX"/>
        </w:rPr>
        <w:t xml:space="preserve">INVITACIÓN ABIERTA No. </w:t>
      </w:r>
      <w:r w:rsidR="008F3DF4" w:rsidRPr="00276C32">
        <w:rPr>
          <w:rFonts w:ascii="Arial" w:hAnsi="Arial" w:cs="Arial"/>
          <w:b/>
          <w:bCs/>
          <w:color w:val="000000" w:themeColor="text1"/>
          <w:lang w:val="es-MX"/>
        </w:rPr>
        <w:t>0</w:t>
      </w:r>
      <w:r w:rsidR="002742BF">
        <w:rPr>
          <w:rFonts w:ascii="Arial" w:hAnsi="Arial" w:cs="Arial"/>
          <w:b/>
          <w:bCs/>
          <w:color w:val="000000" w:themeColor="text1"/>
          <w:lang w:val="es-MX"/>
        </w:rPr>
        <w:t>13</w:t>
      </w:r>
      <w:r w:rsidR="008F3DF4" w:rsidRPr="00276C32">
        <w:rPr>
          <w:rFonts w:ascii="Arial" w:hAnsi="Arial" w:cs="Arial"/>
          <w:b/>
          <w:bCs/>
          <w:color w:val="000000" w:themeColor="text1"/>
          <w:lang w:val="es-MX"/>
        </w:rPr>
        <w:t xml:space="preserve"> </w:t>
      </w:r>
      <w:r w:rsidRPr="00276C32">
        <w:rPr>
          <w:rFonts w:ascii="Arial" w:hAnsi="Arial" w:cs="Arial"/>
          <w:b/>
          <w:bCs/>
          <w:color w:val="000000" w:themeColor="text1"/>
          <w:lang w:val="es-MX"/>
        </w:rPr>
        <w:t>DE  202</w:t>
      </w:r>
      <w:r w:rsidR="0089191A" w:rsidRPr="00276C32">
        <w:rPr>
          <w:rFonts w:ascii="Arial" w:hAnsi="Arial" w:cs="Arial"/>
          <w:b/>
          <w:bCs/>
          <w:color w:val="000000" w:themeColor="text1"/>
          <w:lang w:val="es-MX"/>
        </w:rPr>
        <w:t>3</w:t>
      </w:r>
    </w:p>
    <w:p w14:paraId="787597C1" w14:textId="77777777" w:rsidR="000D3742" w:rsidRPr="00276C32" w:rsidRDefault="000D3742" w:rsidP="00F20610">
      <w:pPr>
        <w:pStyle w:val="Encabezado"/>
        <w:jc w:val="center"/>
        <w:rPr>
          <w:rFonts w:ascii="Arial" w:hAnsi="Arial" w:cs="Arial"/>
          <w:b/>
          <w:bCs/>
          <w:color w:val="000000" w:themeColor="text1"/>
          <w:lang w:val="es-MX"/>
        </w:rPr>
      </w:pPr>
    </w:p>
    <w:p w14:paraId="622AB724" w14:textId="62E81CE2" w:rsidR="00FA6382" w:rsidRPr="00276C32" w:rsidRDefault="00F20610" w:rsidP="00FA6382">
      <w:pPr>
        <w:spacing w:after="120" w:line="243" w:lineRule="auto"/>
        <w:jc w:val="both"/>
        <w:rPr>
          <w:rFonts w:ascii="Arial" w:hAnsi="Arial" w:cs="Arial"/>
          <w:b/>
          <w:color w:val="000000" w:themeColor="text1"/>
        </w:rPr>
      </w:pPr>
      <w:r w:rsidRPr="00276C32">
        <w:rPr>
          <w:rFonts w:ascii="Arial" w:hAnsi="Arial" w:cs="Arial"/>
          <w:b/>
          <w:bCs/>
          <w:caps/>
          <w:color w:val="000000" w:themeColor="text1"/>
        </w:rPr>
        <w:t>OBJETO:</w:t>
      </w:r>
      <w:r w:rsidR="008F3DF4" w:rsidRPr="00276C32">
        <w:rPr>
          <w:rFonts w:ascii="Arial" w:hAnsi="Arial" w:cs="Arial"/>
          <w:b/>
          <w:bCs/>
          <w:caps/>
          <w:color w:val="000000" w:themeColor="text1"/>
        </w:rPr>
        <w:t xml:space="preserve"> </w:t>
      </w:r>
      <w:r w:rsidR="002742BF" w:rsidRPr="002742BF">
        <w:rPr>
          <w:rFonts w:ascii="Arial" w:hAnsi="Arial" w:cs="Arial"/>
          <w:color w:val="000000" w:themeColor="text1"/>
        </w:rPr>
        <w:t>ELABORACION DE ESTUCHES PARA LAS CAJAS DE TETRA DE 1.000 Y 1.500 ml  DE AGUARDIENTE NECTAR PARA OBSEQUIO DE VAPEADORES PARA LA PROMOCION, ACTIVACION, DIFUSION E IMPULSO DEL PRODUCTO DE LA EMPRESA DE LICORES DE CUNDINAMARCA.</w:t>
      </w:r>
    </w:p>
    <w:p w14:paraId="39B75AD2" w14:textId="7A298F31" w:rsidR="00CF0253" w:rsidRPr="0039065B" w:rsidRDefault="00F20610" w:rsidP="00CF0253">
      <w:pPr>
        <w:jc w:val="both"/>
        <w:rPr>
          <w:rFonts w:ascii="Arial" w:hAnsi="Arial" w:cs="Arial"/>
          <w:color w:val="000000" w:themeColor="text1"/>
          <w:highlight w:val="yellow"/>
        </w:rPr>
      </w:pPr>
      <w:r w:rsidRPr="00276C32">
        <w:rPr>
          <w:rFonts w:ascii="Arial" w:hAnsi="Arial" w:cs="Arial"/>
          <w:color w:val="000000" w:themeColor="text1"/>
        </w:rPr>
        <w:t>La Empresa de Licores de Cundinamarca</w:t>
      </w:r>
      <w:r w:rsidR="00650D8A" w:rsidRPr="00276C32">
        <w:rPr>
          <w:rFonts w:ascii="Arial" w:hAnsi="Arial" w:cs="Arial"/>
          <w:color w:val="000000" w:themeColor="text1"/>
        </w:rPr>
        <w:t xml:space="preserve"> con el fin de dar cumplimiento </w:t>
      </w:r>
      <w:r w:rsidR="00146739" w:rsidRPr="00276C32">
        <w:rPr>
          <w:rFonts w:ascii="Arial" w:hAnsi="Arial" w:cs="Arial"/>
          <w:color w:val="000000" w:themeColor="text1"/>
        </w:rPr>
        <w:t xml:space="preserve">a los principios </w:t>
      </w:r>
      <w:r w:rsidR="00404179" w:rsidRPr="00276C32">
        <w:rPr>
          <w:rFonts w:ascii="Arial" w:hAnsi="Arial" w:cs="Arial"/>
          <w:color w:val="000000" w:themeColor="text1"/>
        </w:rPr>
        <w:t>por los que se rige</w:t>
      </w:r>
      <w:r w:rsidR="00146739" w:rsidRPr="00276C32">
        <w:rPr>
          <w:rFonts w:ascii="Arial" w:hAnsi="Arial" w:cs="Arial"/>
          <w:color w:val="000000" w:themeColor="text1"/>
        </w:rPr>
        <w:t xml:space="preserve"> el manual de contratación de la ELC (Resolución No.</w:t>
      </w:r>
      <w:r w:rsidR="000D3742" w:rsidRPr="00276C32">
        <w:rPr>
          <w:rFonts w:ascii="Arial" w:hAnsi="Arial" w:cs="Arial"/>
          <w:color w:val="000000" w:themeColor="text1"/>
        </w:rPr>
        <w:t>2017400006265 de 2017</w:t>
      </w:r>
      <w:r w:rsidR="00146739" w:rsidRPr="00276C32">
        <w:rPr>
          <w:rFonts w:ascii="Arial" w:hAnsi="Arial" w:cs="Arial"/>
          <w:color w:val="000000" w:themeColor="text1"/>
        </w:rPr>
        <w:t xml:space="preserve">) </w:t>
      </w:r>
      <w:r w:rsidR="00CF0253" w:rsidRPr="00276C32">
        <w:rPr>
          <w:rFonts w:ascii="Arial" w:hAnsi="Arial" w:cs="Arial"/>
          <w:color w:val="000000" w:themeColor="text1"/>
        </w:rPr>
        <w:t xml:space="preserve">y, teniendo </w:t>
      </w:r>
      <w:r w:rsidR="00CF0253" w:rsidRPr="005721D6">
        <w:rPr>
          <w:rFonts w:ascii="Arial" w:hAnsi="Arial" w:cs="Arial"/>
          <w:color w:val="000000" w:themeColor="text1"/>
        </w:rPr>
        <w:t>en cuenta</w:t>
      </w:r>
      <w:r w:rsidR="0039065B" w:rsidRPr="005721D6">
        <w:rPr>
          <w:rFonts w:ascii="Arial" w:hAnsi="Arial" w:cs="Arial"/>
          <w:color w:val="000000" w:themeColor="text1"/>
        </w:rPr>
        <w:t xml:space="preserve"> el yerro presentado en la sumatoria del valor total con IVA</w:t>
      </w:r>
      <w:r w:rsidR="00CF0253" w:rsidRPr="005721D6">
        <w:rPr>
          <w:rFonts w:ascii="Arial" w:hAnsi="Arial" w:cs="Arial"/>
          <w:color w:val="000000" w:themeColor="text1"/>
        </w:rPr>
        <w:t>,</w:t>
      </w:r>
      <w:r w:rsidR="00CF0253" w:rsidRPr="00276C32">
        <w:rPr>
          <w:rFonts w:ascii="Arial" w:hAnsi="Arial" w:cs="Arial"/>
          <w:color w:val="000000" w:themeColor="text1"/>
        </w:rPr>
        <w:t xml:space="preserve"> y en cumplimiento  el principio de inf</w:t>
      </w:r>
      <w:r w:rsidR="005721D6">
        <w:rPr>
          <w:rFonts w:ascii="Arial" w:hAnsi="Arial" w:cs="Arial"/>
          <w:color w:val="000000" w:themeColor="text1"/>
        </w:rPr>
        <w:t>ormación se permite realizar la</w:t>
      </w:r>
      <w:r w:rsidR="00CF0253" w:rsidRPr="00276C32">
        <w:rPr>
          <w:rFonts w:ascii="Arial" w:hAnsi="Arial" w:cs="Arial"/>
          <w:color w:val="000000" w:themeColor="text1"/>
        </w:rPr>
        <w:t xml:space="preserve"> </w:t>
      </w:r>
      <w:r w:rsidR="0039065B">
        <w:rPr>
          <w:rFonts w:ascii="Arial" w:hAnsi="Arial" w:cs="Arial"/>
          <w:color w:val="000000" w:themeColor="text1"/>
        </w:rPr>
        <w:t>modificación</w:t>
      </w:r>
      <w:r w:rsidR="005721D6">
        <w:rPr>
          <w:rFonts w:ascii="Arial" w:hAnsi="Arial" w:cs="Arial"/>
          <w:color w:val="000000" w:themeColor="text1"/>
        </w:rPr>
        <w:t xml:space="preserve"> correspondiente con respecto al valor de cada ítem  el cual quedará</w:t>
      </w:r>
      <w:r w:rsidR="00CF0253" w:rsidRPr="00276C32">
        <w:rPr>
          <w:rFonts w:ascii="Arial" w:hAnsi="Arial" w:cs="Arial"/>
          <w:color w:val="000000" w:themeColor="text1"/>
        </w:rPr>
        <w:t xml:space="preserve"> así:  </w:t>
      </w:r>
    </w:p>
    <w:p w14:paraId="01CD3D5A" w14:textId="77777777" w:rsidR="00CF0253" w:rsidRPr="00276C32" w:rsidRDefault="00CF0253" w:rsidP="00F20610">
      <w:pPr>
        <w:jc w:val="both"/>
        <w:rPr>
          <w:rFonts w:ascii="Arial" w:hAnsi="Arial" w:cs="Arial"/>
          <w:color w:val="000000" w:themeColor="text1"/>
        </w:rPr>
      </w:pPr>
    </w:p>
    <w:p w14:paraId="4E7B2EE0" w14:textId="77777777" w:rsidR="00F20610" w:rsidRPr="00276C32" w:rsidRDefault="00F20610" w:rsidP="00F20610">
      <w:pPr>
        <w:jc w:val="both"/>
        <w:rPr>
          <w:rFonts w:ascii="Arial" w:eastAsia="Tahoma" w:hAnsi="Arial" w:cs="Arial"/>
          <w:color w:val="000000" w:themeColor="text1"/>
        </w:rPr>
      </w:pPr>
    </w:p>
    <w:p w14:paraId="66C21CDE" w14:textId="68A3CB60" w:rsidR="00F20610" w:rsidRPr="00276C32" w:rsidRDefault="00F20610" w:rsidP="00F20610">
      <w:pPr>
        <w:jc w:val="both"/>
        <w:rPr>
          <w:rFonts w:ascii="Arial" w:hAnsi="Arial" w:cs="Arial"/>
          <w:bCs/>
          <w:color w:val="000000" w:themeColor="text1"/>
        </w:rPr>
      </w:pPr>
      <w:r w:rsidRPr="00276C32">
        <w:rPr>
          <w:rFonts w:ascii="Arial" w:hAnsi="Arial" w:cs="Arial"/>
          <w:b/>
          <w:bCs/>
          <w:color w:val="000000" w:themeColor="text1"/>
        </w:rPr>
        <w:t>ARTÍCULO PRIMERO:</w:t>
      </w:r>
      <w:r w:rsidRPr="00276C32">
        <w:rPr>
          <w:rFonts w:ascii="Arial" w:hAnsi="Arial" w:cs="Arial"/>
          <w:b/>
          <w:color w:val="000000" w:themeColor="text1"/>
        </w:rPr>
        <w:t xml:space="preserve"> </w:t>
      </w:r>
      <w:r w:rsidR="00CF0253" w:rsidRPr="00276C32">
        <w:rPr>
          <w:rFonts w:ascii="Arial" w:hAnsi="Arial" w:cs="Arial"/>
          <w:b/>
          <w:color w:val="000000" w:themeColor="text1"/>
        </w:rPr>
        <w:t>MODIFICAR</w:t>
      </w:r>
      <w:r w:rsidR="00CF0253" w:rsidRPr="00276C32">
        <w:rPr>
          <w:rFonts w:ascii="Arial" w:hAnsi="Arial" w:cs="Arial"/>
          <w:bCs/>
          <w:color w:val="000000" w:themeColor="text1"/>
        </w:rPr>
        <w:t xml:space="preserve"> el numeral </w:t>
      </w:r>
      <w:r w:rsidR="002742BF">
        <w:rPr>
          <w:rFonts w:ascii="Arial" w:hAnsi="Arial" w:cs="Arial"/>
          <w:b/>
        </w:rPr>
        <w:t>3.2.1</w:t>
      </w:r>
      <w:r w:rsidR="00E4274E" w:rsidRPr="00E4274E">
        <w:t xml:space="preserve"> </w:t>
      </w:r>
      <w:r w:rsidR="00E4274E" w:rsidRPr="00E4274E">
        <w:rPr>
          <w:rFonts w:ascii="Arial" w:hAnsi="Arial" w:cs="Arial"/>
          <w:b/>
        </w:rPr>
        <w:t>PRESUPUESTO OFICIAL ESTIMADO</w:t>
      </w:r>
      <w:r w:rsidR="00E4274E">
        <w:rPr>
          <w:rFonts w:ascii="Arial" w:hAnsi="Arial" w:cs="Arial"/>
          <w:b/>
        </w:rPr>
        <w:t xml:space="preserve">, </w:t>
      </w:r>
      <w:r w:rsidR="00E4274E" w:rsidRPr="00E4274E">
        <w:rPr>
          <w:rFonts w:ascii="Arial" w:hAnsi="Arial" w:cs="Arial"/>
        </w:rPr>
        <w:t xml:space="preserve">acápite </w:t>
      </w:r>
      <w:r w:rsidR="00E4274E">
        <w:rPr>
          <w:rFonts w:ascii="Arial" w:hAnsi="Arial" w:cs="Arial"/>
        </w:rPr>
        <w:t xml:space="preserve">de </w:t>
      </w:r>
      <w:r w:rsidR="00E4274E" w:rsidRPr="00E4274E">
        <w:rPr>
          <w:rFonts w:ascii="Arial" w:hAnsi="Arial" w:cs="Arial"/>
          <w:b/>
        </w:rPr>
        <w:t>PRECIO PROMEDIO</w:t>
      </w:r>
      <w:r w:rsidR="00E4274E">
        <w:rPr>
          <w:rFonts w:ascii="Arial" w:hAnsi="Arial" w:cs="Arial"/>
        </w:rPr>
        <w:t xml:space="preserve"> </w:t>
      </w:r>
      <w:r w:rsidR="00270916" w:rsidRPr="00270916">
        <w:rPr>
          <w:rFonts w:ascii="Arial" w:hAnsi="Arial" w:cs="Arial"/>
          <w:bCs/>
        </w:rPr>
        <w:t>de</w:t>
      </w:r>
      <w:r w:rsidRPr="00270916">
        <w:rPr>
          <w:rFonts w:ascii="Arial" w:hAnsi="Arial" w:cs="Arial"/>
          <w:bCs/>
          <w:color w:val="000000" w:themeColor="text1"/>
        </w:rPr>
        <w:t xml:space="preserve"> </w:t>
      </w:r>
      <w:r w:rsidRPr="00276C32">
        <w:rPr>
          <w:rFonts w:ascii="Arial" w:hAnsi="Arial" w:cs="Arial"/>
          <w:bCs/>
          <w:color w:val="000000" w:themeColor="text1"/>
        </w:rPr>
        <w:t>la Invitación Abierta No. 0</w:t>
      </w:r>
      <w:r w:rsidR="00E4274E">
        <w:rPr>
          <w:rFonts w:ascii="Arial" w:hAnsi="Arial" w:cs="Arial"/>
          <w:bCs/>
          <w:color w:val="000000" w:themeColor="text1"/>
        </w:rPr>
        <w:t>13</w:t>
      </w:r>
      <w:r w:rsidRPr="00276C32">
        <w:rPr>
          <w:rFonts w:ascii="Arial" w:hAnsi="Arial" w:cs="Arial"/>
          <w:bCs/>
          <w:color w:val="000000" w:themeColor="text1"/>
        </w:rPr>
        <w:t xml:space="preserve"> de 202</w:t>
      </w:r>
      <w:r w:rsidR="0089191A" w:rsidRPr="00276C32">
        <w:rPr>
          <w:rFonts w:ascii="Arial" w:hAnsi="Arial" w:cs="Arial"/>
          <w:bCs/>
          <w:color w:val="000000" w:themeColor="text1"/>
        </w:rPr>
        <w:t>3</w:t>
      </w:r>
      <w:r w:rsidRPr="00276C32">
        <w:rPr>
          <w:rFonts w:ascii="Arial" w:hAnsi="Arial" w:cs="Arial"/>
          <w:bCs/>
          <w:color w:val="000000" w:themeColor="text1"/>
        </w:rPr>
        <w:t xml:space="preserve"> así: </w:t>
      </w:r>
    </w:p>
    <w:p w14:paraId="7200B200" w14:textId="77777777" w:rsidR="001D3D8F" w:rsidRPr="00276C32" w:rsidRDefault="001D3D8F" w:rsidP="00F20610">
      <w:pPr>
        <w:jc w:val="both"/>
        <w:rPr>
          <w:rFonts w:ascii="Arial" w:hAnsi="Arial" w:cs="Arial"/>
          <w:bCs/>
          <w:color w:val="000000" w:themeColor="text1"/>
        </w:rPr>
      </w:pPr>
    </w:p>
    <w:p w14:paraId="7320BBD1" w14:textId="77777777" w:rsidR="00E4274E" w:rsidRPr="00E4274E" w:rsidRDefault="00CF0253" w:rsidP="00E4274E">
      <w:pPr>
        <w:rPr>
          <w:rFonts w:ascii="Arial" w:eastAsia="Arial" w:hAnsi="Arial" w:cs="Arial"/>
          <w:b/>
          <w:sz w:val="22"/>
          <w:szCs w:val="22"/>
          <w:lang w:val="es-CO" w:eastAsia="es-CO"/>
        </w:rPr>
      </w:pPr>
      <w:r w:rsidRPr="00276C32">
        <w:rPr>
          <w:rFonts w:ascii="Arial" w:hAnsi="Arial" w:cs="Arial"/>
          <w:b/>
          <w:i/>
          <w:iCs/>
        </w:rPr>
        <w:t>“</w:t>
      </w:r>
      <w:r w:rsidR="00E4274E" w:rsidRPr="00E4274E">
        <w:rPr>
          <w:rFonts w:ascii="Arial" w:eastAsia="Arial" w:hAnsi="Arial" w:cs="Arial"/>
          <w:b/>
          <w:sz w:val="22"/>
          <w:szCs w:val="22"/>
          <w:lang w:val="es-CO" w:eastAsia="es-CO"/>
        </w:rPr>
        <w:t>PRECIO PROMEDIO</w:t>
      </w:r>
    </w:p>
    <w:p w14:paraId="49D23EA8" w14:textId="77777777" w:rsidR="00E4274E" w:rsidRPr="00E4274E" w:rsidRDefault="00E4274E" w:rsidP="00E4274E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</w:p>
    <w:tbl>
      <w:tblPr>
        <w:tblStyle w:val="Tablaconcuadrcula1"/>
        <w:tblW w:w="9209" w:type="dxa"/>
        <w:tblLook w:val="04A0" w:firstRow="1" w:lastRow="0" w:firstColumn="1" w:lastColumn="0" w:noHBand="0" w:noVBand="1"/>
      </w:tblPr>
      <w:tblGrid>
        <w:gridCol w:w="2609"/>
        <w:gridCol w:w="1116"/>
        <w:gridCol w:w="1365"/>
        <w:gridCol w:w="1427"/>
        <w:gridCol w:w="1073"/>
        <w:gridCol w:w="1619"/>
      </w:tblGrid>
      <w:tr w:rsidR="00E4274E" w:rsidRPr="00E4274E" w14:paraId="46219675" w14:textId="77777777" w:rsidTr="002D5725">
        <w:trPr>
          <w:trHeight w:val="489"/>
        </w:trPr>
        <w:tc>
          <w:tcPr>
            <w:tcW w:w="2609" w:type="dxa"/>
            <w:noWrap/>
            <w:hideMark/>
          </w:tcPr>
          <w:p w14:paraId="21BA8514" w14:textId="77777777" w:rsidR="00E4274E" w:rsidRPr="00E4274E" w:rsidRDefault="00E4274E" w:rsidP="00E4274E">
            <w:pPr>
              <w:ind w:left="10" w:hanging="1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  <w:t xml:space="preserve">MATERIAL </w:t>
            </w:r>
          </w:p>
        </w:tc>
        <w:tc>
          <w:tcPr>
            <w:tcW w:w="1116" w:type="dxa"/>
            <w:hideMark/>
          </w:tcPr>
          <w:p w14:paraId="0B902623" w14:textId="77777777" w:rsidR="00E4274E" w:rsidRPr="00E4274E" w:rsidRDefault="00E4274E" w:rsidP="00E4274E">
            <w:pPr>
              <w:ind w:left="10" w:hanging="1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  <w:t>UNIDAD DE MEDIDA</w:t>
            </w:r>
          </w:p>
        </w:tc>
        <w:tc>
          <w:tcPr>
            <w:tcW w:w="1365" w:type="dxa"/>
          </w:tcPr>
          <w:p w14:paraId="3413C656" w14:textId="77777777" w:rsidR="00E4274E" w:rsidRPr="00E4274E" w:rsidRDefault="00E4274E" w:rsidP="00E4274E">
            <w:pPr>
              <w:ind w:left="10" w:hanging="1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1427" w:type="dxa"/>
            <w:noWrap/>
            <w:hideMark/>
          </w:tcPr>
          <w:p w14:paraId="75AC9EDD" w14:textId="77777777" w:rsidR="00E4274E" w:rsidRPr="00E4274E" w:rsidRDefault="00E4274E" w:rsidP="00E4274E">
            <w:pPr>
              <w:ind w:left="10" w:hanging="1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  <w:t>VALOR</w:t>
            </w:r>
          </w:p>
          <w:p w14:paraId="7A578B61" w14:textId="77777777" w:rsidR="00E4274E" w:rsidRPr="00E4274E" w:rsidRDefault="00E4274E" w:rsidP="00E4274E">
            <w:pPr>
              <w:ind w:left="10" w:hanging="1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  <w:t xml:space="preserve">UNITARIO </w:t>
            </w:r>
          </w:p>
        </w:tc>
        <w:tc>
          <w:tcPr>
            <w:tcW w:w="1073" w:type="dxa"/>
          </w:tcPr>
          <w:p w14:paraId="0B8AF543" w14:textId="77777777" w:rsidR="00E4274E" w:rsidRPr="00E4274E" w:rsidRDefault="00E4274E" w:rsidP="00E4274E">
            <w:pPr>
              <w:ind w:left="10" w:hanging="1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1619" w:type="dxa"/>
          </w:tcPr>
          <w:p w14:paraId="6CEFC9E7" w14:textId="77777777" w:rsidR="00E4274E" w:rsidRPr="00E4274E" w:rsidRDefault="00E4274E" w:rsidP="00E4274E">
            <w:pPr>
              <w:ind w:left="10" w:hanging="1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b/>
                <w:bCs/>
                <w:sz w:val="22"/>
                <w:szCs w:val="22"/>
                <w:lang w:val="es-CO" w:eastAsia="es-CO"/>
              </w:rPr>
              <w:t>VALOR TOTAL CON IVA</w:t>
            </w:r>
          </w:p>
        </w:tc>
      </w:tr>
      <w:tr w:rsidR="00E4274E" w:rsidRPr="00E4274E" w14:paraId="6B5C5832" w14:textId="77777777" w:rsidTr="002D5725">
        <w:trPr>
          <w:trHeight w:val="255"/>
        </w:trPr>
        <w:tc>
          <w:tcPr>
            <w:tcW w:w="2609" w:type="dxa"/>
            <w:noWrap/>
            <w:hideMark/>
          </w:tcPr>
          <w:p w14:paraId="1195E3F1" w14:textId="77777777" w:rsidR="00E4274E" w:rsidRPr="00E4274E" w:rsidRDefault="00E4274E" w:rsidP="00E4274E">
            <w:pPr>
              <w:ind w:left="10" w:hanging="10"/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 xml:space="preserve">Para el </w:t>
            </w:r>
            <w:proofErr w:type="spellStart"/>
            <w:r w:rsidRPr="00E4274E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packaging</w:t>
            </w:r>
            <w:proofErr w:type="spellEnd"/>
            <w:r w:rsidRPr="00E4274E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 xml:space="preserve">  de la  caja  tetra  de  1.000ml</w:t>
            </w:r>
          </w:p>
        </w:tc>
        <w:tc>
          <w:tcPr>
            <w:tcW w:w="1116" w:type="dxa"/>
            <w:noWrap/>
            <w:hideMark/>
          </w:tcPr>
          <w:p w14:paraId="3E565B6F" w14:textId="77777777" w:rsidR="00E4274E" w:rsidRPr="00E4274E" w:rsidRDefault="00E4274E" w:rsidP="00E4274E">
            <w:pPr>
              <w:ind w:left="10" w:hanging="10"/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UN</w:t>
            </w:r>
          </w:p>
        </w:tc>
        <w:tc>
          <w:tcPr>
            <w:tcW w:w="1365" w:type="dxa"/>
          </w:tcPr>
          <w:p w14:paraId="11FE84B9" w14:textId="77777777" w:rsidR="00E4274E" w:rsidRPr="00E4274E" w:rsidRDefault="00E4274E" w:rsidP="00E4274E">
            <w:pPr>
              <w:ind w:left="10" w:hanging="10"/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20.000</w:t>
            </w:r>
          </w:p>
        </w:tc>
        <w:tc>
          <w:tcPr>
            <w:tcW w:w="1427" w:type="dxa"/>
            <w:noWrap/>
          </w:tcPr>
          <w:p w14:paraId="6C36670D" w14:textId="77777777" w:rsidR="00E4274E" w:rsidRPr="00E4274E" w:rsidRDefault="00E4274E" w:rsidP="00E4274E">
            <w:pPr>
              <w:ind w:left="10" w:hanging="10"/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5.188</w:t>
            </w:r>
          </w:p>
        </w:tc>
        <w:tc>
          <w:tcPr>
            <w:tcW w:w="1073" w:type="dxa"/>
          </w:tcPr>
          <w:p w14:paraId="7E1C4040" w14:textId="77777777" w:rsidR="00E4274E" w:rsidRPr="00E4274E" w:rsidRDefault="00E4274E" w:rsidP="00E4274E">
            <w:pPr>
              <w:ind w:left="10" w:hanging="10"/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985,72</w:t>
            </w:r>
          </w:p>
        </w:tc>
        <w:tc>
          <w:tcPr>
            <w:tcW w:w="1619" w:type="dxa"/>
            <w:vAlign w:val="bottom"/>
          </w:tcPr>
          <w:p w14:paraId="1CD9D20F" w14:textId="77777777" w:rsidR="00E4274E" w:rsidRPr="00E4274E" w:rsidRDefault="00E4274E" w:rsidP="00E4274E">
            <w:pPr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color w:val="000000"/>
                <w:sz w:val="22"/>
                <w:szCs w:val="22"/>
                <w:lang w:val="es-CO" w:eastAsia="es-CO"/>
              </w:rPr>
              <w:t>$ 123.474.400</w:t>
            </w:r>
          </w:p>
        </w:tc>
      </w:tr>
      <w:tr w:rsidR="00E4274E" w:rsidRPr="00E4274E" w14:paraId="595A0DD6" w14:textId="77777777" w:rsidTr="002D5725">
        <w:trPr>
          <w:trHeight w:val="255"/>
        </w:trPr>
        <w:tc>
          <w:tcPr>
            <w:tcW w:w="2609" w:type="dxa"/>
            <w:noWrap/>
          </w:tcPr>
          <w:p w14:paraId="50B072B2" w14:textId="77777777" w:rsidR="00E4274E" w:rsidRPr="00E4274E" w:rsidRDefault="00E4274E" w:rsidP="00E4274E">
            <w:pPr>
              <w:ind w:left="10" w:hanging="10"/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 xml:space="preserve">Para  el  </w:t>
            </w:r>
            <w:proofErr w:type="spellStart"/>
            <w:r w:rsidRPr="00E4274E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packaging</w:t>
            </w:r>
            <w:proofErr w:type="spellEnd"/>
            <w:r w:rsidRPr="00E4274E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 xml:space="preserve">  de la  caja  tetra  de  1.500ml  </w:t>
            </w:r>
          </w:p>
        </w:tc>
        <w:tc>
          <w:tcPr>
            <w:tcW w:w="1116" w:type="dxa"/>
            <w:noWrap/>
          </w:tcPr>
          <w:p w14:paraId="1C2CEC4F" w14:textId="77777777" w:rsidR="00E4274E" w:rsidRPr="00E4274E" w:rsidRDefault="00E4274E" w:rsidP="00E4274E">
            <w:pPr>
              <w:ind w:left="10" w:hanging="10"/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UN</w:t>
            </w:r>
          </w:p>
        </w:tc>
        <w:tc>
          <w:tcPr>
            <w:tcW w:w="1365" w:type="dxa"/>
          </w:tcPr>
          <w:p w14:paraId="02725DC8" w14:textId="77777777" w:rsidR="00E4274E" w:rsidRPr="00E4274E" w:rsidRDefault="00E4274E" w:rsidP="00E4274E">
            <w:pPr>
              <w:ind w:left="10" w:hanging="10"/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5.000</w:t>
            </w:r>
          </w:p>
        </w:tc>
        <w:tc>
          <w:tcPr>
            <w:tcW w:w="1427" w:type="dxa"/>
            <w:noWrap/>
          </w:tcPr>
          <w:p w14:paraId="78847547" w14:textId="77777777" w:rsidR="00E4274E" w:rsidRPr="00E4274E" w:rsidRDefault="00E4274E" w:rsidP="00E4274E">
            <w:pPr>
              <w:ind w:left="10" w:hanging="10"/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5.540</w:t>
            </w:r>
          </w:p>
        </w:tc>
        <w:tc>
          <w:tcPr>
            <w:tcW w:w="1073" w:type="dxa"/>
          </w:tcPr>
          <w:p w14:paraId="0C942AC5" w14:textId="77777777" w:rsidR="00E4274E" w:rsidRPr="00E4274E" w:rsidRDefault="00E4274E" w:rsidP="00E4274E">
            <w:pPr>
              <w:ind w:left="10" w:hanging="10"/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  <w:t>1052,6</w:t>
            </w:r>
          </w:p>
        </w:tc>
        <w:tc>
          <w:tcPr>
            <w:tcW w:w="1619" w:type="dxa"/>
            <w:vAlign w:val="bottom"/>
          </w:tcPr>
          <w:p w14:paraId="2B39896E" w14:textId="77777777" w:rsidR="00E4274E" w:rsidRPr="00E4274E" w:rsidRDefault="00E4274E" w:rsidP="00E4274E">
            <w:pPr>
              <w:jc w:val="both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E4274E">
              <w:rPr>
                <w:rFonts w:ascii="Arial" w:eastAsia="Arial" w:hAnsi="Arial" w:cs="Arial"/>
                <w:color w:val="000000"/>
                <w:sz w:val="22"/>
                <w:szCs w:val="22"/>
                <w:lang w:val="es-CO" w:eastAsia="es-CO"/>
              </w:rPr>
              <w:t>$ 32.963.000</w:t>
            </w:r>
          </w:p>
        </w:tc>
      </w:tr>
    </w:tbl>
    <w:p w14:paraId="3B8EBD9F" w14:textId="77777777" w:rsidR="006F732B" w:rsidRPr="00276C32" w:rsidRDefault="006F732B" w:rsidP="00FA6382">
      <w:pPr>
        <w:jc w:val="both"/>
        <w:rPr>
          <w:rFonts w:ascii="Arial" w:hAnsi="Arial" w:cs="Arial"/>
          <w:b/>
          <w:color w:val="000000" w:themeColor="text1"/>
        </w:rPr>
      </w:pPr>
    </w:p>
    <w:p w14:paraId="276747C8" w14:textId="69D7DB31" w:rsidR="005721D6" w:rsidRPr="005721D6" w:rsidRDefault="005721D6" w:rsidP="00FA6382">
      <w:pPr>
        <w:jc w:val="both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NOTA: </w:t>
      </w:r>
      <w:r>
        <w:rPr>
          <w:rFonts w:ascii="Arial" w:eastAsia="Arial" w:hAnsi="Arial" w:cs="Arial"/>
          <w:bCs/>
          <w:color w:val="000000" w:themeColor="text1"/>
        </w:rPr>
        <w:t xml:space="preserve">La anterior modificación no comporta cambios en el presupuesto oficial estimado para la presente contratación, ni en el valor unitario de cada ítem. </w:t>
      </w:r>
    </w:p>
    <w:p w14:paraId="40399C99" w14:textId="77777777" w:rsidR="005721D6" w:rsidRDefault="005721D6" w:rsidP="00FA6382">
      <w:pPr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E6A0794" w14:textId="252AA54F" w:rsidR="00F20610" w:rsidRPr="00276C32" w:rsidRDefault="001A1FC2" w:rsidP="00FA6382">
      <w:pPr>
        <w:jc w:val="both"/>
        <w:rPr>
          <w:rFonts w:ascii="Arial" w:hAnsi="Arial" w:cs="Arial"/>
          <w:color w:val="000000" w:themeColor="text1"/>
          <w:lang w:eastAsia="ar-SA"/>
        </w:rPr>
      </w:pPr>
      <w:r w:rsidRPr="00276C32">
        <w:rPr>
          <w:rFonts w:ascii="Arial" w:eastAsia="Arial" w:hAnsi="Arial" w:cs="Arial"/>
          <w:b/>
          <w:bCs/>
          <w:color w:val="000000" w:themeColor="text1"/>
        </w:rPr>
        <w:t>ARTICULO</w:t>
      </w:r>
      <w:r w:rsidR="003B3BC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E4274E">
        <w:rPr>
          <w:rFonts w:ascii="Arial" w:eastAsia="Arial" w:hAnsi="Arial" w:cs="Arial"/>
          <w:b/>
          <w:bCs/>
          <w:color w:val="000000" w:themeColor="text1"/>
        </w:rPr>
        <w:t>SEGUNDO</w:t>
      </w:r>
      <w:r w:rsidRPr="00276C32">
        <w:rPr>
          <w:rFonts w:ascii="Arial" w:eastAsia="Arial" w:hAnsi="Arial" w:cs="Arial"/>
          <w:b/>
          <w:bCs/>
          <w:color w:val="000000" w:themeColor="text1"/>
        </w:rPr>
        <w:t xml:space="preserve">: </w:t>
      </w:r>
      <w:r w:rsidR="00F20610" w:rsidRPr="00276C32">
        <w:rPr>
          <w:rFonts w:ascii="Arial" w:eastAsia="Arial" w:hAnsi="Arial" w:cs="Arial"/>
          <w:color w:val="000000" w:themeColor="text1"/>
        </w:rPr>
        <w:t>Las demás condiciones de la invitación Abierta No. 0</w:t>
      </w:r>
      <w:r w:rsidR="00E4274E">
        <w:rPr>
          <w:rFonts w:ascii="Arial" w:eastAsia="Arial" w:hAnsi="Arial" w:cs="Arial"/>
          <w:color w:val="000000" w:themeColor="text1"/>
        </w:rPr>
        <w:t>13</w:t>
      </w:r>
      <w:r w:rsidR="00F20610" w:rsidRPr="00276C32">
        <w:rPr>
          <w:rFonts w:ascii="Arial" w:eastAsia="Arial" w:hAnsi="Arial" w:cs="Arial"/>
          <w:color w:val="000000" w:themeColor="text1"/>
        </w:rPr>
        <w:t xml:space="preserve"> - 202</w:t>
      </w:r>
      <w:r w:rsidR="00E4274E">
        <w:rPr>
          <w:rFonts w:ascii="Arial" w:eastAsia="Arial" w:hAnsi="Arial" w:cs="Arial"/>
          <w:color w:val="000000" w:themeColor="text1"/>
        </w:rPr>
        <w:t>3</w:t>
      </w:r>
      <w:r w:rsidR="00F20610" w:rsidRPr="00276C32">
        <w:rPr>
          <w:rFonts w:ascii="Arial" w:eastAsia="Arial" w:hAnsi="Arial" w:cs="Arial"/>
          <w:color w:val="000000" w:themeColor="text1"/>
        </w:rPr>
        <w:t xml:space="preserve">   no modificadas en la presente Adenda, permanecen inalterables</w:t>
      </w:r>
      <w:r w:rsidR="00254F7B" w:rsidRPr="00276C32">
        <w:rPr>
          <w:rFonts w:ascii="Arial" w:eastAsia="Arial" w:hAnsi="Arial" w:cs="Arial"/>
          <w:color w:val="000000" w:themeColor="text1"/>
        </w:rPr>
        <w:t>.</w:t>
      </w:r>
    </w:p>
    <w:p w14:paraId="74B1B285" w14:textId="77777777" w:rsidR="00F20610" w:rsidRPr="00276C32" w:rsidRDefault="00F20610" w:rsidP="00FA6382">
      <w:pPr>
        <w:autoSpaceDE w:val="0"/>
        <w:jc w:val="both"/>
        <w:rPr>
          <w:rFonts w:ascii="Arial" w:hAnsi="Arial" w:cs="Arial"/>
          <w:color w:val="000000" w:themeColor="text1"/>
        </w:rPr>
      </w:pPr>
    </w:p>
    <w:p w14:paraId="601A9EF6" w14:textId="5DBD73E5" w:rsidR="00F20610" w:rsidRPr="00276C32" w:rsidRDefault="00F20610" w:rsidP="00FA6382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color w:val="000000" w:themeColor="text1"/>
        </w:rPr>
      </w:pPr>
      <w:r w:rsidRPr="00276C32">
        <w:rPr>
          <w:rFonts w:ascii="Arial" w:eastAsia="Arial" w:hAnsi="Arial" w:cs="Arial"/>
          <w:color w:val="000000" w:themeColor="text1"/>
        </w:rPr>
        <w:t xml:space="preserve">Dado en Cota Cundinamarca, a los </w:t>
      </w:r>
      <w:r w:rsidR="001A1FC2" w:rsidRPr="00276C32">
        <w:rPr>
          <w:rFonts w:ascii="Arial" w:eastAsia="Arial" w:hAnsi="Arial" w:cs="Arial"/>
          <w:color w:val="000000" w:themeColor="text1"/>
        </w:rPr>
        <w:t>diecisiete (</w:t>
      </w:r>
      <w:r w:rsidR="0089191A" w:rsidRPr="00276C32">
        <w:rPr>
          <w:rFonts w:ascii="Arial" w:eastAsia="Arial" w:hAnsi="Arial" w:cs="Arial"/>
          <w:color w:val="000000" w:themeColor="text1"/>
        </w:rPr>
        <w:t>1</w:t>
      </w:r>
      <w:r w:rsidR="001A1FC2" w:rsidRPr="00276C32">
        <w:rPr>
          <w:rFonts w:ascii="Arial" w:eastAsia="Arial" w:hAnsi="Arial" w:cs="Arial"/>
          <w:color w:val="000000" w:themeColor="text1"/>
        </w:rPr>
        <w:t>7</w:t>
      </w:r>
      <w:r w:rsidR="008F3DF4" w:rsidRPr="00276C32">
        <w:rPr>
          <w:rFonts w:ascii="Arial" w:eastAsia="Arial" w:hAnsi="Arial" w:cs="Arial"/>
          <w:color w:val="000000" w:themeColor="text1"/>
        </w:rPr>
        <w:t xml:space="preserve">) </w:t>
      </w:r>
      <w:r w:rsidRPr="00276C32">
        <w:rPr>
          <w:rFonts w:ascii="Arial" w:eastAsia="Arial" w:hAnsi="Arial" w:cs="Arial"/>
          <w:color w:val="000000" w:themeColor="text1"/>
        </w:rPr>
        <w:t xml:space="preserve">días del mes de </w:t>
      </w:r>
      <w:r w:rsidR="00E4274E">
        <w:rPr>
          <w:rFonts w:ascii="Arial" w:eastAsia="Arial" w:hAnsi="Arial" w:cs="Arial"/>
          <w:color w:val="000000" w:themeColor="text1"/>
        </w:rPr>
        <w:t>mayo</w:t>
      </w:r>
      <w:r w:rsidRPr="00276C32">
        <w:rPr>
          <w:rFonts w:ascii="Arial" w:eastAsia="Arial" w:hAnsi="Arial" w:cs="Arial"/>
          <w:color w:val="000000" w:themeColor="text1"/>
        </w:rPr>
        <w:t xml:space="preserve"> </w:t>
      </w:r>
      <w:r w:rsidR="0089191A" w:rsidRPr="00276C32">
        <w:rPr>
          <w:rFonts w:ascii="Arial" w:eastAsia="Arial" w:hAnsi="Arial" w:cs="Arial"/>
          <w:color w:val="000000" w:themeColor="text1"/>
        </w:rPr>
        <w:t>de los dos mil veintitrés (</w:t>
      </w:r>
      <w:r w:rsidRPr="00276C32">
        <w:rPr>
          <w:rFonts w:ascii="Arial" w:eastAsia="Arial" w:hAnsi="Arial" w:cs="Arial"/>
          <w:color w:val="000000" w:themeColor="text1"/>
        </w:rPr>
        <w:t>202</w:t>
      </w:r>
      <w:r w:rsidR="0089191A" w:rsidRPr="00276C32">
        <w:rPr>
          <w:rFonts w:ascii="Arial" w:eastAsia="Arial" w:hAnsi="Arial" w:cs="Arial"/>
          <w:color w:val="000000" w:themeColor="text1"/>
        </w:rPr>
        <w:t>3</w:t>
      </w:r>
      <w:r w:rsidRPr="00276C32">
        <w:rPr>
          <w:rFonts w:ascii="Arial" w:eastAsia="Arial" w:hAnsi="Arial" w:cs="Arial"/>
          <w:color w:val="000000" w:themeColor="text1"/>
        </w:rPr>
        <w:t xml:space="preserve">). </w:t>
      </w:r>
    </w:p>
    <w:p w14:paraId="78512CF0" w14:textId="06CB6D57" w:rsidR="00F20610" w:rsidRPr="00276C32" w:rsidRDefault="00F20610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</w:rPr>
      </w:pPr>
    </w:p>
    <w:p w14:paraId="452E4B38" w14:textId="77777777" w:rsidR="00EF796E" w:rsidRPr="00276C32" w:rsidRDefault="00EF796E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</w:rPr>
      </w:pPr>
    </w:p>
    <w:p w14:paraId="6DFA1899" w14:textId="3099ACC3" w:rsidR="00A07C22" w:rsidRDefault="00A07C22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</w:rPr>
      </w:pPr>
    </w:p>
    <w:p w14:paraId="12858B89" w14:textId="77777777" w:rsidR="003B3BCF" w:rsidRPr="00276C32" w:rsidRDefault="003B3BCF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</w:rPr>
      </w:pPr>
    </w:p>
    <w:p w14:paraId="6736016E" w14:textId="5DA61871" w:rsidR="000D3742" w:rsidRPr="00276C32" w:rsidRDefault="00E14597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</w:rPr>
      </w:pPr>
      <w:r w:rsidRPr="00276C32">
        <w:rPr>
          <w:rFonts w:ascii="Arial" w:eastAsia="Arial" w:hAnsi="Arial" w:cs="Arial"/>
          <w:color w:val="000000" w:themeColor="text1"/>
        </w:rPr>
        <w:t>(ORIGINAL FIRMADO)</w:t>
      </w:r>
    </w:p>
    <w:p w14:paraId="51DD0037" w14:textId="2609FADB" w:rsidR="00F20610" w:rsidRPr="00276C32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  <w:color w:val="000000" w:themeColor="text1"/>
        </w:rPr>
      </w:pPr>
      <w:r w:rsidRPr="00276C32">
        <w:rPr>
          <w:rFonts w:ascii="Arial" w:eastAsia="Arial" w:hAnsi="Arial" w:cs="Arial"/>
          <w:b/>
          <w:bCs/>
          <w:color w:val="000000" w:themeColor="text1"/>
        </w:rPr>
        <w:t xml:space="preserve">JORGE ENRIQUE MACHUCA LÓPEZ </w:t>
      </w:r>
      <w:r w:rsidR="00E245B6" w:rsidRPr="00276C32">
        <w:rPr>
          <w:rFonts w:ascii="Arial" w:eastAsia="Arial" w:hAnsi="Arial" w:cs="Arial"/>
          <w:b/>
          <w:color w:val="000000" w:themeColor="text1"/>
        </w:rPr>
        <w:t xml:space="preserve"> </w:t>
      </w:r>
    </w:p>
    <w:p w14:paraId="265E259C" w14:textId="61BC25D2" w:rsidR="00F20610" w:rsidRPr="00276C32" w:rsidRDefault="00F20610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</w:rPr>
      </w:pPr>
      <w:r w:rsidRPr="00276C32">
        <w:rPr>
          <w:rFonts w:ascii="Arial" w:eastAsia="Arial" w:hAnsi="Arial" w:cs="Arial"/>
          <w:color w:val="000000" w:themeColor="text1"/>
        </w:rPr>
        <w:t>Gerente General</w:t>
      </w:r>
      <w:r w:rsidR="00E245B6" w:rsidRPr="00276C32">
        <w:rPr>
          <w:rFonts w:ascii="Arial" w:eastAsia="Arial" w:hAnsi="Arial" w:cs="Arial"/>
          <w:color w:val="000000" w:themeColor="text1"/>
        </w:rPr>
        <w:t xml:space="preserve"> </w:t>
      </w:r>
    </w:p>
    <w:p w14:paraId="0A03D424" w14:textId="77777777" w:rsidR="0089191A" w:rsidRPr="00276C32" w:rsidRDefault="0089191A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</w:rPr>
      </w:pPr>
    </w:p>
    <w:p w14:paraId="55AF2D9B" w14:textId="77777777" w:rsidR="00FA6382" w:rsidRPr="00276C32" w:rsidRDefault="00FA6382" w:rsidP="00E14597">
      <w:pPr>
        <w:widowControl w:val="0"/>
        <w:suppressAutoHyphens/>
        <w:rPr>
          <w:rFonts w:ascii="Arial" w:eastAsia="Arial" w:hAnsi="Arial" w:cs="Arial"/>
          <w:color w:val="000000" w:themeColor="text1"/>
        </w:rPr>
      </w:pPr>
    </w:p>
    <w:p w14:paraId="04D58D2B" w14:textId="719BDC08" w:rsidR="00F20610" w:rsidRPr="003B3BCF" w:rsidRDefault="0089191A" w:rsidP="00E14597">
      <w:pPr>
        <w:widowControl w:val="0"/>
        <w:suppressAutoHyphens/>
        <w:rPr>
          <w:rFonts w:ascii="Arial" w:eastAsia="Tahoma" w:hAnsi="Arial" w:cs="Arial"/>
          <w:bCs/>
          <w:color w:val="000000" w:themeColor="text1"/>
          <w:sz w:val="16"/>
          <w:szCs w:val="16"/>
          <w:lang w:eastAsia="ar-SA"/>
        </w:rPr>
      </w:pPr>
      <w:r w:rsidRPr="003B3BCF">
        <w:rPr>
          <w:rFonts w:ascii="Arial" w:eastAsia="Arial" w:hAnsi="Arial" w:cs="Arial"/>
          <w:color w:val="000000" w:themeColor="text1"/>
          <w:sz w:val="16"/>
          <w:szCs w:val="16"/>
        </w:rPr>
        <w:t xml:space="preserve">             </w:t>
      </w:r>
      <w:r w:rsidR="00E14597" w:rsidRPr="003B3BCF">
        <w:rPr>
          <w:rFonts w:ascii="Arial" w:eastAsia="Arial" w:hAnsi="Arial" w:cs="Arial"/>
          <w:color w:val="000000" w:themeColor="text1"/>
          <w:sz w:val="16"/>
          <w:szCs w:val="16"/>
        </w:rPr>
        <w:t>(ORIGINAL FIRMADO)</w:t>
      </w:r>
    </w:p>
    <w:p w14:paraId="718F6802" w14:textId="4488BCEB" w:rsidR="00F20610" w:rsidRPr="003B3BCF" w:rsidRDefault="0089191A" w:rsidP="00254F7B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proofErr w:type="spellStart"/>
      <w:r w:rsidRPr="003B3BCF">
        <w:rPr>
          <w:rFonts w:ascii="Arial" w:eastAsia="Tahoma" w:hAnsi="Arial" w:cs="Arial"/>
          <w:b/>
          <w:color w:val="000000" w:themeColor="text1"/>
          <w:sz w:val="16"/>
          <w:szCs w:val="16"/>
          <w:lang w:eastAsia="ar-SA"/>
        </w:rPr>
        <w:t>Vo</w:t>
      </w:r>
      <w:proofErr w:type="spellEnd"/>
      <w:r w:rsidRPr="003B3BCF">
        <w:rPr>
          <w:rFonts w:ascii="Arial" w:eastAsia="Tahoma" w:hAnsi="Arial" w:cs="Arial"/>
          <w:b/>
          <w:color w:val="000000" w:themeColor="text1"/>
          <w:sz w:val="16"/>
          <w:szCs w:val="16"/>
          <w:lang w:eastAsia="ar-SA"/>
        </w:rPr>
        <w:t xml:space="preserve">. Bo. </w:t>
      </w:r>
      <w:r w:rsidR="00E4274E">
        <w:rPr>
          <w:rFonts w:ascii="Arial" w:eastAsia="Tahoma" w:hAnsi="Arial" w:cs="Arial"/>
          <w:b/>
          <w:color w:val="000000" w:themeColor="text1"/>
          <w:sz w:val="16"/>
          <w:szCs w:val="16"/>
          <w:lang w:eastAsia="ar-SA"/>
        </w:rPr>
        <w:t>LEONARDO ANDRES RODRIGUEZ SUAREZ</w:t>
      </w:r>
    </w:p>
    <w:p w14:paraId="08325148" w14:textId="27B4667D" w:rsidR="00F20610" w:rsidRPr="003B3BCF" w:rsidRDefault="0089191A" w:rsidP="00254F7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3BCF">
        <w:rPr>
          <w:rFonts w:ascii="Arial" w:hAnsi="Arial" w:cs="Arial"/>
          <w:color w:val="000000" w:themeColor="text1"/>
          <w:sz w:val="16"/>
          <w:szCs w:val="16"/>
        </w:rPr>
        <w:t xml:space="preserve">               </w:t>
      </w:r>
      <w:r w:rsidR="00F20610" w:rsidRPr="003B3BCF">
        <w:rPr>
          <w:rFonts w:ascii="Arial" w:hAnsi="Arial" w:cs="Arial"/>
          <w:color w:val="000000" w:themeColor="text1"/>
          <w:sz w:val="16"/>
          <w:szCs w:val="16"/>
        </w:rPr>
        <w:t xml:space="preserve">Subgerente </w:t>
      </w:r>
      <w:r w:rsidR="00E4274E">
        <w:rPr>
          <w:rFonts w:ascii="Arial" w:hAnsi="Arial" w:cs="Arial"/>
          <w:color w:val="000000" w:themeColor="text1"/>
          <w:sz w:val="16"/>
          <w:szCs w:val="16"/>
        </w:rPr>
        <w:t>Comercial (E)</w:t>
      </w:r>
    </w:p>
    <w:p w14:paraId="7F5C42CF" w14:textId="77777777" w:rsidR="00FA6382" w:rsidRPr="003B3BCF" w:rsidRDefault="00FA6382" w:rsidP="00254F7B">
      <w:pPr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</w:p>
    <w:p w14:paraId="758CA35F" w14:textId="77777777" w:rsidR="00F20610" w:rsidRPr="003B3BCF" w:rsidRDefault="00F20610" w:rsidP="00F20610">
      <w:pPr>
        <w:widowControl w:val="0"/>
        <w:suppressAutoHyphens/>
        <w:rPr>
          <w:rFonts w:ascii="Arial" w:eastAsia="Tahoma" w:hAnsi="Arial" w:cs="Arial"/>
          <w:bCs/>
          <w:color w:val="000000" w:themeColor="text1"/>
          <w:sz w:val="16"/>
          <w:szCs w:val="16"/>
          <w:lang w:eastAsia="ar-SA"/>
        </w:rPr>
      </w:pPr>
    </w:p>
    <w:p w14:paraId="2F646A80" w14:textId="138BEC51" w:rsidR="00F20610" w:rsidRPr="003B3BCF" w:rsidRDefault="0089191A" w:rsidP="00F20610">
      <w:pPr>
        <w:widowControl w:val="0"/>
        <w:suppressAutoHyphens/>
        <w:rPr>
          <w:rFonts w:ascii="Arial" w:eastAsia="Tahoma" w:hAnsi="Arial" w:cs="Arial"/>
          <w:bCs/>
          <w:color w:val="000000" w:themeColor="text1"/>
          <w:sz w:val="16"/>
          <w:szCs w:val="16"/>
          <w:lang w:eastAsia="ar-SA"/>
        </w:rPr>
      </w:pPr>
      <w:r w:rsidRPr="003B3BCF">
        <w:rPr>
          <w:rFonts w:ascii="Arial" w:eastAsia="Tahoma" w:hAnsi="Arial" w:cs="Arial"/>
          <w:bCs/>
          <w:color w:val="000000" w:themeColor="text1"/>
          <w:sz w:val="16"/>
          <w:szCs w:val="16"/>
          <w:lang w:eastAsia="ar-SA"/>
        </w:rPr>
        <w:t xml:space="preserve">             </w:t>
      </w:r>
      <w:r w:rsidR="00F20610" w:rsidRPr="003B3BCF">
        <w:rPr>
          <w:rFonts w:ascii="Arial" w:eastAsia="Tahoma" w:hAnsi="Arial" w:cs="Arial"/>
          <w:bCs/>
          <w:color w:val="000000" w:themeColor="text1"/>
          <w:sz w:val="16"/>
          <w:szCs w:val="16"/>
          <w:lang w:eastAsia="ar-SA"/>
        </w:rPr>
        <w:t xml:space="preserve"> </w:t>
      </w:r>
      <w:r w:rsidR="00E14597" w:rsidRPr="003B3BCF">
        <w:rPr>
          <w:rFonts w:ascii="Arial" w:eastAsia="Arial" w:hAnsi="Arial" w:cs="Arial"/>
          <w:color w:val="000000" w:themeColor="text1"/>
          <w:sz w:val="16"/>
          <w:szCs w:val="16"/>
        </w:rPr>
        <w:t>(ORIGINAL FIRMADO)</w:t>
      </w:r>
    </w:p>
    <w:p w14:paraId="3A56750F" w14:textId="747A5CC6" w:rsidR="00F20610" w:rsidRPr="003B3BCF" w:rsidRDefault="0089191A" w:rsidP="00F20610">
      <w:pPr>
        <w:ind w:right="47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proofErr w:type="spellStart"/>
      <w:r w:rsidRPr="003B3BCF">
        <w:rPr>
          <w:rFonts w:ascii="Arial" w:eastAsia="Tahoma" w:hAnsi="Arial" w:cs="Arial"/>
          <w:b/>
          <w:color w:val="000000" w:themeColor="text1"/>
          <w:sz w:val="16"/>
          <w:szCs w:val="16"/>
          <w:lang w:eastAsia="ar-SA"/>
        </w:rPr>
        <w:t>Vo</w:t>
      </w:r>
      <w:proofErr w:type="spellEnd"/>
      <w:r w:rsidRPr="003B3BCF">
        <w:rPr>
          <w:rFonts w:ascii="Arial" w:eastAsia="Tahoma" w:hAnsi="Arial" w:cs="Arial"/>
          <w:b/>
          <w:color w:val="000000" w:themeColor="text1"/>
          <w:sz w:val="16"/>
          <w:szCs w:val="16"/>
          <w:lang w:eastAsia="ar-SA"/>
        </w:rPr>
        <w:t xml:space="preserve">. Bo. </w:t>
      </w:r>
      <w:r w:rsidR="00F20610" w:rsidRPr="003B3BCF">
        <w:rPr>
          <w:rFonts w:ascii="Arial" w:hAnsi="Arial" w:cs="Arial"/>
          <w:b/>
          <w:color w:val="000000" w:themeColor="text1"/>
          <w:sz w:val="16"/>
          <w:szCs w:val="16"/>
        </w:rPr>
        <w:t>SANDRA MILENA CUBILLOS GONZALEZ</w:t>
      </w:r>
    </w:p>
    <w:p w14:paraId="02603847" w14:textId="077BCFD1" w:rsidR="00E14597" w:rsidRPr="003B3BCF" w:rsidRDefault="0089191A" w:rsidP="00E14597">
      <w:pPr>
        <w:ind w:right="4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3BCF">
        <w:rPr>
          <w:rFonts w:ascii="Arial" w:hAnsi="Arial" w:cs="Arial"/>
          <w:color w:val="000000" w:themeColor="text1"/>
          <w:sz w:val="16"/>
          <w:szCs w:val="16"/>
        </w:rPr>
        <w:t xml:space="preserve">              </w:t>
      </w:r>
      <w:r w:rsidR="00F20610" w:rsidRPr="003B3BCF">
        <w:rPr>
          <w:rFonts w:ascii="Arial" w:hAnsi="Arial" w:cs="Arial"/>
          <w:color w:val="000000" w:themeColor="text1"/>
          <w:sz w:val="16"/>
          <w:szCs w:val="16"/>
        </w:rPr>
        <w:t xml:space="preserve">Jefe Oficina Asesora </w:t>
      </w:r>
      <w:r w:rsidR="00254F7B" w:rsidRPr="003B3BCF">
        <w:rPr>
          <w:rFonts w:ascii="Arial" w:hAnsi="Arial" w:cs="Arial"/>
          <w:color w:val="000000" w:themeColor="text1"/>
          <w:sz w:val="16"/>
          <w:szCs w:val="16"/>
        </w:rPr>
        <w:t xml:space="preserve">de </w:t>
      </w:r>
      <w:r w:rsidR="00F20610" w:rsidRPr="003B3BCF">
        <w:rPr>
          <w:rFonts w:ascii="Arial" w:hAnsi="Arial" w:cs="Arial"/>
          <w:color w:val="000000" w:themeColor="text1"/>
          <w:sz w:val="16"/>
          <w:szCs w:val="16"/>
        </w:rPr>
        <w:t xml:space="preserve">Jurídica y Contractual </w:t>
      </w:r>
    </w:p>
    <w:p w14:paraId="5CA44014" w14:textId="77777777" w:rsidR="00E14597" w:rsidRPr="003B3BCF" w:rsidRDefault="00E14597" w:rsidP="00E14597">
      <w:pPr>
        <w:ind w:right="47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69553EE" w14:textId="5C9E0D62" w:rsidR="00E4274E" w:rsidRPr="003B3BCF" w:rsidRDefault="00F20610" w:rsidP="00E4274E">
      <w:pPr>
        <w:ind w:right="4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3BCF">
        <w:rPr>
          <w:rFonts w:ascii="Arial" w:hAnsi="Arial" w:cs="Arial"/>
          <w:bCs/>
          <w:color w:val="000000" w:themeColor="text1"/>
          <w:sz w:val="16"/>
          <w:szCs w:val="16"/>
        </w:rPr>
        <w:t>Elaboró:</w:t>
      </w:r>
      <w:r w:rsidR="00E4274E">
        <w:rPr>
          <w:rFonts w:ascii="Arial" w:hAnsi="Arial" w:cs="Arial"/>
          <w:bCs/>
          <w:color w:val="000000" w:themeColor="text1"/>
          <w:sz w:val="16"/>
          <w:szCs w:val="16"/>
        </w:rPr>
        <w:t xml:space="preserve"> Ricardo Enrique Arias Granados</w:t>
      </w:r>
    </w:p>
    <w:p w14:paraId="2CD68962" w14:textId="07516988" w:rsidR="00F632AD" w:rsidRPr="003B3BCF" w:rsidRDefault="00F632AD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F632AD" w:rsidRPr="003B3BCF" w:rsidSect="00F632AD">
      <w:headerReference w:type="default" r:id="rId7"/>
      <w:footerReference w:type="default" r:id="rId8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3B767" w14:textId="77777777" w:rsidR="00464B45" w:rsidRDefault="00464B45">
      <w:r>
        <w:separator/>
      </w:r>
    </w:p>
  </w:endnote>
  <w:endnote w:type="continuationSeparator" w:id="0">
    <w:p w14:paraId="27DABA0F" w14:textId="77777777" w:rsidR="00464B45" w:rsidRDefault="0046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404E2" w14:textId="77777777" w:rsidR="00F632AD" w:rsidRDefault="00F20610" w:rsidP="00F632AD">
    <w:pPr>
      <w:ind w:right="360"/>
    </w:pPr>
    <w:r>
      <w:rPr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9711A" w14:textId="77777777" w:rsidR="00464B45" w:rsidRDefault="00464B45">
      <w:r>
        <w:separator/>
      </w:r>
    </w:p>
  </w:footnote>
  <w:footnote w:type="continuationSeparator" w:id="0">
    <w:p w14:paraId="708A0FF6" w14:textId="77777777" w:rsidR="00464B45" w:rsidRDefault="0046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72459" w14:textId="77777777" w:rsidR="00F632AD" w:rsidRPr="002E5863" w:rsidRDefault="00F20610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16F21DA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BD0"/>
    <w:multiLevelType w:val="hybridMultilevel"/>
    <w:tmpl w:val="7C22A9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A0262"/>
    <w:multiLevelType w:val="multilevel"/>
    <w:tmpl w:val="16BCA39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2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800"/>
      </w:pPr>
      <w:rPr>
        <w:rFonts w:hint="default"/>
      </w:rPr>
    </w:lvl>
  </w:abstractNum>
  <w:abstractNum w:abstractNumId="2" w15:restartNumberingAfterBreak="0">
    <w:nsid w:val="30543911"/>
    <w:multiLevelType w:val="hybridMultilevel"/>
    <w:tmpl w:val="FFFFFFFF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7171A"/>
    <w:multiLevelType w:val="hybridMultilevel"/>
    <w:tmpl w:val="7BD87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F1701"/>
    <w:multiLevelType w:val="hybridMultilevel"/>
    <w:tmpl w:val="FFFFFFFF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E6766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8D826C4"/>
    <w:multiLevelType w:val="hybridMultilevel"/>
    <w:tmpl w:val="E4B2243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BD52464"/>
    <w:multiLevelType w:val="hybridMultilevel"/>
    <w:tmpl w:val="CB1EE994"/>
    <w:lvl w:ilvl="0" w:tplc="48D68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C50CE9"/>
    <w:multiLevelType w:val="hybridMultilevel"/>
    <w:tmpl w:val="FFFFFFFF"/>
    <w:lvl w:ilvl="0" w:tplc="B18018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0"/>
    <w:rsid w:val="00031CC6"/>
    <w:rsid w:val="000530F0"/>
    <w:rsid w:val="00071738"/>
    <w:rsid w:val="0007554B"/>
    <w:rsid w:val="00086F74"/>
    <w:rsid w:val="000B66CB"/>
    <w:rsid w:val="000D3742"/>
    <w:rsid w:val="00132810"/>
    <w:rsid w:val="00146739"/>
    <w:rsid w:val="001A1FC2"/>
    <w:rsid w:val="001D3D8F"/>
    <w:rsid w:val="00243CF8"/>
    <w:rsid w:val="00254F7B"/>
    <w:rsid w:val="00270916"/>
    <w:rsid w:val="002742BF"/>
    <w:rsid w:val="00276C32"/>
    <w:rsid w:val="00292088"/>
    <w:rsid w:val="00295916"/>
    <w:rsid w:val="002C545C"/>
    <w:rsid w:val="00367FEE"/>
    <w:rsid w:val="00370E6B"/>
    <w:rsid w:val="003774F8"/>
    <w:rsid w:val="0039065B"/>
    <w:rsid w:val="003924DA"/>
    <w:rsid w:val="003B3BCF"/>
    <w:rsid w:val="003C224F"/>
    <w:rsid w:val="003D05BB"/>
    <w:rsid w:val="003E399D"/>
    <w:rsid w:val="00404179"/>
    <w:rsid w:val="00464B45"/>
    <w:rsid w:val="0049018B"/>
    <w:rsid w:val="005721D6"/>
    <w:rsid w:val="00616041"/>
    <w:rsid w:val="00650D8A"/>
    <w:rsid w:val="006A7D1F"/>
    <w:rsid w:val="006F4773"/>
    <w:rsid w:val="006F533A"/>
    <w:rsid w:val="006F732B"/>
    <w:rsid w:val="0073192E"/>
    <w:rsid w:val="00752BF8"/>
    <w:rsid w:val="00757DE4"/>
    <w:rsid w:val="00770793"/>
    <w:rsid w:val="00805EB6"/>
    <w:rsid w:val="0089191A"/>
    <w:rsid w:val="008F3DF4"/>
    <w:rsid w:val="00902032"/>
    <w:rsid w:val="009722B6"/>
    <w:rsid w:val="009806D0"/>
    <w:rsid w:val="009812B0"/>
    <w:rsid w:val="00982188"/>
    <w:rsid w:val="00995E3C"/>
    <w:rsid w:val="00A07C22"/>
    <w:rsid w:val="00A93901"/>
    <w:rsid w:val="00AA6EC6"/>
    <w:rsid w:val="00AB3BB9"/>
    <w:rsid w:val="00AB7FD8"/>
    <w:rsid w:val="00AF05E4"/>
    <w:rsid w:val="00B0617F"/>
    <w:rsid w:val="00B159D5"/>
    <w:rsid w:val="00B23D77"/>
    <w:rsid w:val="00B316AC"/>
    <w:rsid w:val="00B403E1"/>
    <w:rsid w:val="00CF0253"/>
    <w:rsid w:val="00D922F2"/>
    <w:rsid w:val="00DC036E"/>
    <w:rsid w:val="00DC6248"/>
    <w:rsid w:val="00DE5217"/>
    <w:rsid w:val="00E14597"/>
    <w:rsid w:val="00E20930"/>
    <w:rsid w:val="00E245B6"/>
    <w:rsid w:val="00E4274E"/>
    <w:rsid w:val="00E51D81"/>
    <w:rsid w:val="00ED5D18"/>
    <w:rsid w:val="00EF796E"/>
    <w:rsid w:val="00F01AA2"/>
    <w:rsid w:val="00F20610"/>
    <w:rsid w:val="00F3296C"/>
    <w:rsid w:val="00F632AD"/>
    <w:rsid w:val="00F80B55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uesto">
    <w:name w:val="Title"/>
    <w:basedOn w:val="Normal"/>
    <w:link w:val="PuestoCar"/>
    <w:qFormat/>
    <w:rsid w:val="00F20610"/>
    <w:pPr>
      <w:jc w:val="center"/>
    </w:pPr>
    <w:rPr>
      <w:b/>
      <w:bCs/>
      <w:lang w:val="es-MX"/>
    </w:rPr>
  </w:style>
  <w:style w:type="character" w:customStyle="1" w:styleId="PuestoCar">
    <w:name w:val="Puesto Car"/>
    <w:basedOn w:val="Fuentedeprrafopredeter"/>
    <w:link w:val="Puest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05EB6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16041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902032"/>
    <w:rPr>
      <w:rFonts w:ascii="Garamond" w:eastAsia="Times New Roman" w:hAnsi="Garamond" w:cs="Garamond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90203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E4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Ricardo Enrique Arias Granados</cp:lastModifiedBy>
  <cp:revision>2</cp:revision>
  <cp:lastPrinted>2021-12-10T21:07:00Z</cp:lastPrinted>
  <dcterms:created xsi:type="dcterms:W3CDTF">2023-05-17T19:29:00Z</dcterms:created>
  <dcterms:modified xsi:type="dcterms:W3CDTF">2023-05-17T19:29:00Z</dcterms:modified>
</cp:coreProperties>
</file>