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72A66" w14:textId="2AF33855" w:rsidR="00626D4E" w:rsidRPr="001F7D1D" w:rsidRDefault="00554902" w:rsidP="004D46B1">
      <w:pPr>
        <w:jc w:val="both"/>
        <w:rPr>
          <w:rFonts w:ascii="Arial" w:hAnsi="Arial" w:cs="Arial"/>
          <w:sz w:val="22"/>
          <w:szCs w:val="22"/>
          <w:lang w:val="es-CO"/>
        </w:rPr>
      </w:pPr>
      <w:r w:rsidRPr="001F7D1D">
        <w:rPr>
          <w:rFonts w:ascii="Arial" w:hAnsi="Arial" w:cs="Arial"/>
          <w:sz w:val="22"/>
          <w:szCs w:val="22"/>
          <w:lang w:val="es-CO"/>
        </w:rPr>
        <w:t>Cota Cundinamarca, 22 de septiembre de 2022</w:t>
      </w:r>
    </w:p>
    <w:p w14:paraId="4FC4CBF3" w14:textId="4BD11686" w:rsidR="00554902" w:rsidRPr="001F7D1D" w:rsidRDefault="00554902" w:rsidP="004D46B1">
      <w:pPr>
        <w:jc w:val="both"/>
        <w:rPr>
          <w:rFonts w:ascii="Arial" w:hAnsi="Arial" w:cs="Arial"/>
          <w:sz w:val="22"/>
          <w:szCs w:val="22"/>
          <w:lang w:val="es-CO"/>
        </w:rPr>
      </w:pPr>
    </w:p>
    <w:p w14:paraId="6CB9CBC1" w14:textId="77777777" w:rsidR="00554902" w:rsidRPr="001F7D1D" w:rsidRDefault="00554902" w:rsidP="004D46B1">
      <w:pPr>
        <w:pStyle w:val="Ttulo11"/>
        <w:tabs>
          <w:tab w:val="clear" w:pos="0"/>
          <w:tab w:val="left" w:pos="708"/>
        </w:tabs>
        <w:ind w:right="47"/>
        <w:rPr>
          <w:rFonts w:ascii="Arial" w:eastAsia="Tahoma" w:hAnsi="Arial" w:cs="Arial"/>
          <w:b w:val="0"/>
          <w:bCs w:val="0"/>
          <w:sz w:val="22"/>
          <w:szCs w:val="22"/>
        </w:rPr>
      </w:pPr>
      <w:r w:rsidRPr="001F7D1D">
        <w:rPr>
          <w:rFonts w:ascii="Arial" w:eastAsia="Tahoma" w:hAnsi="Arial" w:cs="Arial"/>
          <w:b w:val="0"/>
          <w:bCs w:val="0"/>
          <w:sz w:val="22"/>
          <w:szCs w:val="22"/>
        </w:rPr>
        <w:t>Señores</w:t>
      </w:r>
    </w:p>
    <w:p w14:paraId="2ECA8A80" w14:textId="2C1E185A" w:rsidR="00554902" w:rsidRPr="001F7D1D" w:rsidRDefault="00091E1D" w:rsidP="004D46B1">
      <w:pPr>
        <w:pStyle w:val="Encabezado"/>
        <w:tabs>
          <w:tab w:val="clear" w:pos="8504"/>
        </w:tabs>
        <w:ind w:right="47"/>
        <w:jc w:val="both"/>
        <w:rPr>
          <w:rFonts w:ascii="Arial" w:hAnsi="Arial" w:cs="Arial"/>
          <w:b/>
          <w:bCs/>
          <w:sz w:val="22"/>
          <w:szCs w:val="22"/>
          <w:lang w:val="es-MX"/>
        </w:rPr>
      </w:pPr>
      <w:r w:rsidRPr="001F7D1D">
        <w:rPr>
          <w:rFonts w:ascii="Arial" w:hAnsi="Arial" w:cs="Arial"/>
          <w:b/>
          <w:bCs/>
          <w:sz w:val="22"/>
          <w:szCs w:val="22"/>
          <w:lang w:val="es-MX"/>
        </w:rPr>
        <w:t>OFERENTES INVITACIÓN</w:t>
      </w:r>
      <w:r w:rsidR="00554902" w:rsidRPr="001F7D1D">
        <w:rPr>
          <w:rFonts w:ascii="Arial" w:hAnsi="Arial" w:cs="Arial"/>
          <w:b/>
          <w:bCs/>
          <w:sz w:val="22"/>
          <w:szCs w:val="22"/>
          <w:lang w:val="es-MX"/>
        </w:rPr>
        <w:t xml:space="preserve"> ABIERTA No. 032 DE  2022</w:t>
      </w:r>
    </w:p>
    <w:p w14:paraId="2B300CD2" w14:textId="77777777" w:rsidR="00554902" w:rsidRPr="001F7D1D" w:rsidRDefault="00554902" w:rsidP="004D46B1">
      <w:pPr>
        <w:ind w:right="47"/>
        <w:jc w:val="both"/>
        <w:rPr>
          <w:rFonts w:ascii="Arial" w:eastAsia="Tahoma" w:hAnsi="Arial" w:cs="Arial"/>
          <w:sz w:val="22"/>
          <w:szCs w:val="22"/>
        </w:rPr>
      </w:pPr>
      <w:r w:rsidRPr="001F7D1D">
        <w:rPr>
          <w:rFonts w:ascii="Arial" w:eastAsia="Tahoma" w:hAnsi="Arial" w:cs="Arial"/>
          <w:sz w:val="22"/>
          <w:szCs w:val="22"/>
        </w:rPr>
        <w:t>Ciudad</w:t>
      </w:r>
    </w:p>
    <w:p w14:paraId="6D68903B" w14:textId="77777777" w:rsidR="00554902" w:rsidRPr="001F7D1D" w:rsidRDefault="00554902" w:rsidP="004D46B1">
      <w:pPr>
        <w:pStyle w:val="Encabezado"/>
        <w:tabs>
          <w:tab w:val="clear" w:pos="8504"/>
        </w:tabs>
        <w:ind w:right="47"/>
        <w:jc w:val="both"/>
        <w:rPr>
          <w:rFonts w:ascii="Arial" w:hAnsi="Arial" w:cs="Arial"/>
          <w:b/>
          <w:sz w:val="22"/>
          <w:szCs w:val="22"/>
          <w:lang w:val="es-MX"/>
        </w:rPr>
      </w:pPr>
    </w:p>
    <w:p w14:paraId="5F720D42" w14:textId="2E96B91D" w:rsidR="00554902" w:rsidRPr="001F7D1D" w:rsidRDefault="00554902" w:rsidP="004D46B1">
      <w:pPr>
        <w:pStyle w:val="Encabezado"/>
        <w:tabs>
          <w:tab w:val="clear" w:pos="8504"/>
        </w:tabs>
        <w:ind w:right="47"/>
        <w:jc w:val="both"/>
        <w:rPr>
          <w:rFonts w:ascii="Arial" w:hAnsi="Arial" w:cs="Arial"/>
          <w:b/>
          <w:sz w:val="22"/>
          <w:szCs w:val="22"/>
          <w:lang w:val="es-MX"/>
        </w:rPr>
      </w:pPr>
      <w:r w:rsidRPr="001F7D1D">
        <w:rPr>
          <w:rFonts w:ascii="Arial" w:hAnsi="Arial" w:cs="Arial"/>
          <w:b/>
          <w:sz w:val="22"/>
          <w:szCs w:val="22"/>
          <w:lang w:val="es-MX"/>
        </w:rPr>
        <w:t xml:space="preserve">Referencia: </w:t>
      </w:r>
      <w:r w:rsidR="00FB2248" w:rsidRPr="001F7D1D">
        <w:rPr>
          <w:rFonts w:ascii="Arial" w:hAnsi="Arial" w:cs="Arial"/>
          <w:b/>
          <w:sz w:val="22"/>
          <w:szCs w:val="22"/>
          <w:lang w:val="es-MX"/>
        </w:rPr>
        <w:t>RESPUESTA A LAS OBSERVACIONES PRESENTADAS A LA EVALUACIÓN PRELIMINAR DE LA INVITACIÓN ABIERTA 032 DE 2022.</w:t>
      </w:r>
    </w:p>
    <w:p w14:paraId="3573977C" w14:textId="77777777" w:rsidR="00554902" w:rsidRPr="001F7D1D" w:rsidRDefault="00554902" w:rsidP="004D46B1">
      <w:pPr>
        <w:autoSpaceDE w:val="0"/>
        <w:autoSpaceDN w:val="0"/>
        <w:adjustRightInd w:val="0"/>
        <w:ind w:right="47"/>
        <w:jc w:val="both"/>
        <w:rPr>
          <w:rFonts w:ascii="Arial" w:hAnsi="Arial" w:cs="Arial"/>
          <w:sz w:val="22"/>
          <w:szCs w:val="22"/>
          <w:lang w:eastAsia="es-CO"/>
        </w:rPr>
      </w:pPr>
    </w:p>
    <w:p w14:paraId="2E874937" w14:textId="77777777" w:rsidR="00554902" w:rsidRPr="001F7D1D" w:rsidRDefault="00554902" w:rsidP="004D46B1">
      <w:pPr>
        <w:autoSpaceDE w:val="0"/>
        <w:autoSpaceDN w:val="0"/>
        <w:adjustRightInd w:val="0"/>
        <w:ind w:right="47"/>
        <w:jc w:val="both"/>
        <w:rPr>
          <w:rFonts w:ascii="Arial" w:hAnsi="Arial" w:cs="Arial"/>
          <w:sz w:val="22"/>
          <w:szCs w:val="22"/>
          <w:lang w:eastAsia="es-CO"/>
        </w:rPr>
      </w:pPr>
      <w:r w:rsidRPr="001F7D1D">
        <w:rPr>
          <w:rFonts w:ascii="Arial" w:hAnsi="Arial" w:cs="Arial"/>
          <w:sz w:val="22"/>
          <w:szCs w:val="22"/>
          <w:lang w:eastAsia="es-CO"/>
        </w:rPr>
        <w:t>Respetados Señores:</w:t>
      </w:r>
    </w:p>
    <w:p w14:paraId="17107C4E" w14:textId="77777777" w:rsidR="00554902" w:rsidRPr="001F7D1D" w:rsidRDefault="00554902" w:rsidP="004D46B1">
      <w:pPr>
        <w:autoSpaceDE w:val="0"/>
        <w:autoSpaceDN w:val="0"/>
        <w:adjustRightInd w:val="0"/>
        <w:ind w:right="47"/>
        <w:jc w:val="both"/>
        <w:rPr>
          <w:rFonts w:ascii="Arial" w:hAnsi="Arial" w:cs="Arial"/>
          <w:sz w:val="22"/>
          <w:szCs w:val="22"/>
          <w:lang w:eastAsia="es-CO"/>
        </w:rPr>
      </w:pPr>
    </w:p>
    <w:p w14:paraId="6E7D6E16" w14:textId="4D294D65" w:rsidR="00554902" w:rsidRPr="001F7D1D" w:rsidRDefault="00554902" w:rsidP="004D46B1">
      <w:pPr>
        <w:ind w:right="47"/>
        <w:jc w:val="both"/>
        <w:rPr>
          <w:rFonts w:ascii="Arial" w:hAnsi="Arial" w:cs="Arial"/>
          <w:b/>
          <w:bCs/>
          <w:iCs/>
          <w:sz w:val="22"/>
          <w:szCs w:val="22"/>
        </w:rPr>
      </w:pPr>
      <w:r w:rsidRPr="001F7D1D">
        <w:rPr>
          <w:rFonts w:ascii="Arial" w:hAnsi="Arial" w:cs="Arial"/>
          <w:sz w:val="22"/>
          <w:szCs w:val="22"/>
          <w:lang w:eastAsia="es-CO"/>
        </w:rPr>
        <w:t xml:space="preserve">La </w:t>
      </w:r>
      <w:r w:rsidRPr="001F7D1D">
        <w:rPr>
          <w:rFonts w:ascii="Arial" w:hAnsi="Arial" w:cs="Arial"/>
          <w:b/>
          <w:sz w:val="22"/>
          <w:szCs w:val="22"/>
          <w:lang w:eastAsia="es-CO"/>
        </w:rPr>
        <w:t>EMPRESA DE LICORES DE CUNDINAMARCA</w:t>
      </w:r>
      <w:r w:rsidRPr="001F7D1D">
        <w:rPr>
          <w:rFonts w:ascii="Arial" w:hAnsi="Arial" w:cs="Arial"/>
          <w:sz w:val="22"/>
          <w:szCs w:val="22"/>
          <w:lang w:eastAsia="es-CO"/>
        </w:rPr>
        <w:t xml:space="preserve">, por medio del presente documento procede a da respuesta a las observaciones </w:t>
      </w:r>
      <w:r w:rsidR="00091E1D" w:rsidRPr="001F7D1D">
        <w:rPr>
          <w:rFonts w:ascii="Arial" w:hAnsi="Arial" w:cs="Arial"/>
          <w:sz w:val="22"/>
          <w:szCs w:val="22"/>
          <w:lang w:val="es-MX"/>
        </w:rPr>
        <w:t xml:space="preserve">presentadas a la evaluación preliminar </w:t>
      </w:r>
      <w:r w:rsidRPr="001F7D1D">
        <w:rPr>
          <w:rFonts w:ascii="Arial" w:hAnsi="Arial" w:cs="Arial"/>
          <w:sz w:val="22"/>
          <w:szCs w:val="22"/>
          <w:lang w:eastAsia="es-CO"/>
        </w:rPr>
        <w:t>de la Invitación Abierta No. 032 de 2022 cuyo objeto es el:</w:t>
      </w:r>
      <w:r w:rsidRPr="001F7D1D">
        <w:rPr>
          <w:rFonts w:ascii="Arial" w:hAnsi="Arial" w:cs="Arial"/>
          <w:b/>
          <w:sz w:val="22"/>
          <w:szCs w:val="22"/>
          <w:lang w:eastAsia="es-CO"/>
        </w:rPr>
        <w:t xml:space="preserve"> </w:t>
      </w:r>
      <w:r w:rsidRPr="001F7D1D">
        <w:rPr>
          <w:rFonts w:ascii="Arial" w:hAnsi="Arial" w:cs="Arial"/>
          <w:b/>
          <w:bCs/>
          <w:iCs/>
          <w:sz w:val="22"/>
          <w:szCs w:val="22"/>
        </w:rPr>
        <w:t>“SUMINISTRO DE GORRAS, DELANTALES, PONCHOS, TULAS y CAMISETAS, CON FINES PUBLICITARIOS (MERCHANDISING) CON LOS LOGOS Y MARCAS DE LA EMPRESA DE LICORES DE CUNDINAMARCA PARA DESARROLLAR ACTIVIDADES DE RECONOCIMIENTO E IMPULSO DE MARCA”.</w:t>
      </w:r>
    </w:p>
    <w:p w14:paraId="448B0737" w14:textId="24A0AC90" w:rsidR="00091E1D" w:rsidRPr="001F7D1D" w:rsidRDefault="00091E1D" w:rsidP="004D46B1">
      <w:pPr>
        <w:ind w:right="47"/>
        <w:jc w:val="both"/>
        <w:rPr>
          <w:rFonts w:ascii="Arial" w:hAnsi="Arial" w:cs="Arial"/>
          <w:b/>
          <w:bCs/>
          <w:iCs/>
          <w:sz w:val="22"/>
          <w:szCs w:val="22"/>
        </w:rPr>
      </w:pPr>
    </w:p>
    <w:p w14:paraId="3FD7EA0F" w14:textId="77777777" w:rsidR="00A551B1" w:rsidRPr="001F7D1D" w:rsidRDefault="00091E1D" w:rsidP="00A551B1">
      <w:pPr>
        <w:ind w:right="47"/>
        <w:jc w:val="both"/>
        <w:rPr>
          <w:rFonts w:ascii="Arial" w:hAnsi="Arial" w:cs="Arial"/>
          <w:sz w:val="22"/>
          <w:szCs w:val="22"/>
          <w:u w:val="single"/>
          <w:lang w:eastAsia="es-CO"/>
        </w:rPr>
      </w:pPr>
      <w:r w:rsidRPr="001F7D1D">
        <w:rPr>
          <w:rFonts w:ascii="Arial" w:hAnsi="Arial" w:cs="Arial"/>
          <w:b/>
          <w:bCs/>
          <w:iCs/>
          <w:sz w:val="22"/>
          <w:szCs w:val="22"/>
          <w:u w:val="single"/>
        </w:rPr>
        <w:t>RESPUESTA A OBSERVACIÓN PRESENTADA POR GLORIA HERNÁNDEZ</w:t>
      </w:r>
    </w:p>
    <w:p w14:paraId="4A340755" w14:textId="77777777" w:rsidR="00A551B1" w:rsidRPr="001F7D1D" w:rsidRDefault="00A551B1" w:rsidP="00A551B1">
      <w:pPr>
        <w:ind w:right="47"/>
        <w:jc w:val="both"/>
        <w:rPr>
          <w:rFonts w:ascii="Arial" w:hAnsi="Arial" w:cs="Arial"/>
          <w:sz w:val="22"/>
          <w:szCs w:val="22"/>
          <w:u w:val="single"/>
          <w:lang w:eastAsia="es-CO"/>
        </w:rPr>
      </w:pPr>
    </w:p>
    <w:p w14:paraId="7EFBA9A7" w14:textId="593B1225" w:rsidR="00091E1D" w:rsidRPr="001F7D1D" w:rsidRDefault="00091E1D" w:rsidP="00A551B1">
      <w:pPr>
        <w:ind w:right="47"/>
        <w:jc w:val="both"/>
        <w:rPr>
          <w:rFonts w:ascii="Arial" w:hAnsi="Arial" w:cs="Arial"/>
          <w:sz w:val="22"/>
          <w:szCs w:val="22"/>
          <w:u w:val="single"/>
          <w:lang w:eastAsia="es-CO"/>
        </w:rPr>
      </w:pPr>
      <w:r w:rsidRPr="001F7D1D">
        <w:rPr>
          <w:rFonts w:ascii="Arial" w:hAnsi="Arial" w:cs="Arial"/>
          <w:sz w:val="22"/>
          <w:szCs w:val="22"/>
          <w:lang w:val="es-CO"/>
        </w:rPr>
        <w:t xml:space="preserve">Teniendo en cuenta que la Empresa de Licores de Cundinamarca es una empresa industrial y comercial del Estado, cuya contratación se rige mediante el Manual interno de contratación de la entidad </w:t>
      </w:r>
      <w:r w:rsidR="004D46B1" w:rsidRPr="001F7D1D">
        <w:rPr>
          <w:rFonts w:ascii="Arial" w:hAnsi="Arial" w:cs="Arial"/>
          <w:sz w:val="22"/>
          <w:szCs w:val="22"/>
          <w:lang w:val="es-CO"/>
        </w:rPr>
        <w:t>(Resolución No.2017400006265 de 2017)</w:t>
      </w:r>
      <w:r w:rsidR="00B96826" w:rsidRPr="001F7D1D">
        <w:rPr>
          <w:rFonts w:ascii="Arial" w:hAnsi="Arial" w:cs="Arial"/>
          <w:sz w:val="22"/>
          <w:szCs w:val="22"/>
          <w:lang w:val="es-CO"/>
        </w:rPr>
        <w:t xml:space="preserve"> y los fines esenciales de la contratación estatal</w:t>
      </w:r>
      <w:r w:rsidR="00C726F4" w:rsidRPr="001F7D1D">
        <w:rPr>
          <w:rFonts w:ascii="Arial" w:hAnsi="Arial" w:cs="Arial"/>
          <w:sz w:val="22"/>
          <w:szCs w:val="22"/>
          <w:lang w:val="es-CO"/>
        </w:rPr>
        <w:t xml:space="preserve">, respecto a su </w:t>
      </w:r>
      <w:r w:rsidR="008D4BE1" w:rsidRPr="001F7D1D">
        <w:rPr>
          <w:rFonts w:ascii="Arial" w:hAnsi="Arial" w:cs="Arial"/>
          <w:sz w:val="22"/>
          <w:szCs w:val="22"/>
          <w:lang w:val="es-CO"/>
        </w:rPr>
        <w:t>artículo</w:t>
      </w:r>
      <w:r w:rsidR="00B96826" w:rsidRPr="001F7D1D">
        <w:rPr>
          <w:rFonts w:ascii="Arial" w:hAnsi="Arial" w:cs="Arial"/>
          <w:sz w:val="22"/>
          <w:szCs w:val="22"/>
          <w:lang w:val="es-CO"/>
        </w:rPr>
        <w:t xml:space="preserve"> 29 No. 12, </w:t>
      </w:r>
    </w:p>
    <w:p w14:paraId="1309C8F7" w14:textId="796F5D08" w:rsidR="00B96826" w:rsidRPr="001F7D1D" w:rsidRDefault="00B96826" w:rsidP="004D46B1">
      <w:pPr>
        <w:jc w:val="both"/>
        <w:rPr>
          <w:rFonts w:ascii="Arial" w:hAnsi="Arial" w:cs="Arial"/>
          <w:sz w:val="22"/>
          <w:szCs w:val="22"/>
          <w:lang w:val="es-CO"/>
        </w:rPr>
      </w:pPr>
    </w:p>
    <w:p w14:paraId="3AE5E75C" w14:textId="46C7AB5D" w:rsidR="00B96826" w:rsidRPr="001F7D1D" w:rsidRDefault="00B96826" w:rsidP="00B96826">
      <w:pPr>
        <w:ind w:left="708"/>
        <w:jc w:val="both"/>
        <w:rPr>
          <w:rFonts w:ascii="Arial" w:hAnsi="Arial" w:cs="Arial"/>
          <w:i/>
          <w:iCs/>
          <w:sz w:val="22"/>
          <w:szCs w:val="22"/>
          <w:lang w:val="es-CO"/>
        </w:rPr>
      </w:pPr>
      <w:r w:rsidRPr="001F7D1D">
        <w:rPr>
          <w:rFonts w:ascii="Arial" w:hAnsi="Arial" w:cs="Arial"/>
          <w:i/>
          <w:iCs/>
          <w:sz w:val="22"/>
          <w:szCs w:val="22"/>
          <w:lang w:val="es-CO"/>
        </w:rPr>
        <w:t xml:space="preserve">“12. El resultado final de la evaluación será publicado en la página web de la ELC; la publicación de este acto se entiende como notificación, por lo que desde la fecha de su publicación se correrá traslado </w:t>
      </w:r>
      <w:r w:rsidRPr="001F7D1D">
        <w:rPr>
          <w:rFonts w:ascii="Arial" w:hAnsi="Arial" w:cs="Arial"/>
          <w:i/>
          <w:iCs/>
          <w:sz w:val="22"/>
          <w:szCs w:val="22"/>
          <w:u w:val="single"/>
          <w:lang w:val="es-CO"/>
        </w:rPr>
        <w:t xml:space="preserve">para que </w:t>
      </w:r>
      <w:r w:rsidRPr="001F7D1D">
        <w:rPr>
          <w:rFonts w:ascii="Arial" w:hAnsi="Arial" w:cs="Arial"/>
          <w:b/>
          <w:bCs/>
          <w:i/>
          <w:iCs/>
          <w:sz w:val="22"/>
          <w:szCs w:val="22"/>
          <w:u w:val="single"/>
          <w:lang w:val="es-CO"/>
        </w:rPr>
        <w:t>los oferentes</w:t>
      </w:r>
      <w:r w:rsidRPr="001F7D1D">
        <w:rPr>
          <w:rFonts w:ascii="Arial" w:hAnsi="Arial" w:cs="Arial"/>
          <w:i/>
          <w:iCs/>
          <w:sz w:val="22"/>
          <w:szCs w:val="22"/>
          <w:u w:val="single"/>
          <w:lang w:val="es-CO"/>
        </w:rPr>
        <w:t xml:space="preserve"> realicen sus respectivas observaciones</w:t>
      </w:r>
      <w:r w:rsidRPr="001F7D1D">
        <w:rPr>
          <w:rFonts w:ascii="Arial" w:hAnsi="Arial" w:cs="Arial"/>
          <w:i/>
          <w:iCs/>
          <w:sz w:val="22"/>
          <w:szCs w:val="22"/>
          <w:lang w:val="es-CO"/>
        </w:rPr>
        <w:t>; tal documento deberá contener pruebas idóneas que justifiquen la observación, lo anterior con el fin de garantizar el derecho al debido proceso y contradicción. La ELC dará respuesta a estas observaciones en documento dirigido al oferente, vía correo electrónico, en la página web o en la dirección proporcionada.” (</w:t>
      </w:r>
      <w:r w:rsidR="001E0D0D" w:rsidRPr="001F7D1D">
        <w:rPr>
          <w:rFonts w:ascii="Arial" w:hAnsi="Arial" w:cs="Arial"/>
          <w:i/>
          <w:iCs/>
          <w:sz w:val="22"/>
          <w:szCs w:val="22"/>
          <w:lang w:val="es-CO"/>
        </w:rPr>
        <w:t>N</w:t>
      </w:r>
      <w:r w:rsidRPr="001F7D1D">
        <w:rPr>
          <w:rFonts w:ascii="Arial" w:hAnsi="Arial" w:cs="Arial"/>
          <w:i/>
          <w:iCs/>
          <w:sz w:val="22"/>
          <w:szCs w:val="22"/>
          <w:lang w:val="es-CO"/>
        </w:rPr>
        <w:t>egrilla y subraya fuera de texto).</w:t>
      </w:r>
    </w:p>
    <w:p w14:paraId="32C4682B" w14:textId="6D017CFC" w:rsidR="00B96826" w:rsidRPr="001F7D1D" w:rsidRDefault="00B96826" w:rsidP="00B96826">
      <w:pPr>
        <w:jc w:val="both"/>
        <w:rPr>
          <w:rFonts w:ascii="Arial" w:hAnsi="Arial" w:cs="Arial"/>
          <w:i/>
          <w:iCs/>
          <w:sz w:val="22"/>
          <w:szCs w:val="22"/>
          <w:lang w:val="es-CO"/>
        </w:rPr>
      </w:pPr>
    </w:p>
    <w:p w14:paraId="6D24B513" w14:textId="1D5D373C" w:rsidR="00B96826" w:rsidRPr="001F7D1D" w:rsidRDefault="00A5525D" w:rsidP="00B96826">
      <w:pPr>
        <w:jc w:val="both"/>
        <w:rPr>
          <w:rFonts w:ascii="Arial" w:hAnsi="Arial" w:cs="Arial"/>
          <w:sz w:val="22"/>
          <w:szCs w:val="22"/>
          <w:lang w:val="es-CO"/>
        </w:rPr>
      </w:pPr>
      <w:r w:rsidRPr="001F7D1D">
        <w:rPr>
          <w:rFonts w:ascii="Arial" w:hAnsi="Arial" w:cs="Arial"/>
          <w:sz w:val="22"/>
          <w:szCs w:val="22"/>
          <w:lang w:val="es-CO"/>
        </w:rPr>
        <w:t xml:space="preserve">Del mismo modo, dentro de las condiciones establecidas dentro de la invitación </w:t>
      </w:r>
      <w:r w:rsidR="00636C18" w:rsidRPr="001F7D1D">
        <w:rPr>
          <w:rFonts w:ascii="Arial" w:hAnsi="Arial" w:cs="Arial"/>
          <w:sz w:val="22"/>
          <w:szCs w:val="22"/>
          <w:lang w:val="es-CO"/>
        </w:rPr>
        <w:t>se establece:</w:t>
      </w:r>
    </w:p>
    <w:p w14:paraId="1C1CB66E" w14:textId="77777777" w:rsidR="008D4BE1" w:rsidRPr="001F7D1D" w:rsidRDefault="008D4BE1" w:rsidP="00B96826">
      <w:pPr>
        <w:jc w:val="both"/>
        <w:rPr>
          <w:rFonts w:ascii="Arial" w:hAnsi="Arial" w:cs="Arial"/>
          <w:sz w:val="22"/>
          <w:szCs w:val="22"/>
          <w:lang w:val="es-CO"/>
        </w:rPr>
      </w:pPr>
    </w:p>
    <w:p w14:paraId="447E64AA" w14:textId="35761605" w:rsidR="00C726F4" w:rsidRPr="001F7D1D" w:rsidRDefault="008D4BE1" w:rsidP="008D4BE1">
      <w:pPr>
        <w:ind w:left="660"/>
        <w:jc w:val="both"/>
        <w:rPr>
          <w:rFonts w:ascii="Arial" w:hAnsi="Arial" w:cs="Arial"/>
          <w:b/>
          <w:i/>
          <w:iCs/>
          <w:sz w:val="22"/>
          <w:szCs w:val="22"/>
          <w:lang w:val="es-CO" w:eastAsia="es-CO"/>
        </w:rPr>
      </w:pPr>
      <w:r w:rsidRPr="001F7D1D">
        <w:rPr>
          <w:rFonts w:ascii="Arial" w:hAnsi="Arial" w:cs="Arial"/>
          <w:b/>
          <w:i/>
          <w:iCs/>
          <w:sz w:val="22"/>
          <w:szCs w:val="22"/>
          <w:lang w:val="es-CO" w:eastAsia="es-CO"/>
        </w:rPr>
        <w:t>“</w:t>
      </w:r>
      <w:r w:rsidR="00C726F4" w:rsidRPr="001F7D1D">
        <w:rPr>
          <w:rFonts w:ascii="Arial" w:hAnsi="Arial" w:cs="Arial"/>
          <w:b/>
          <w:i/>
          <w:iCs/>
          <w:sz w:val="22"/>
          <w:szCs w:val="22"/>
          <w:lang w:val="es-CO" w:eastAsia="es-CO"/>
        </w:rPr>
        <w:t xml:space="preserve">19. OBSERVACIONES AL INFORME DE EVALUACIÓN </w:t>
      </w:r>
    </w:p>
    <w:p w14:paraId="048E63A4" w14:textId="77777777" w:rsidR="008D4BE1" w:rsidRPr="001F7D1D" w:rsidRDefault="00C726F4" w:rsidP="008D4BE1">
      <w:pPr>
        <w:spacing w:after="120"/>
        <w:ind w:left="780" w:hanging="10"/>
        <w:jc w:val="both"/>
        <w:rPr>
          <w:rFonts w:ascii="Arial" w:hAnsi="Arial" w:cs="Arial"/>
          <w:i/>
          <w:iCs/>
          <w:sz w:val="22"/>
          <w:szCs w:val="22"/>
          <w:lang w:val="es-CO" w:eastAsia="es-CO"/>
        </w:rPr>
      </w:pPr>
      <w:r w:rsidRPr="001F7D1D">
        <w:rPr>
          <w:rFonts w:ascii="Arial" w:hAnsi="Arial" w:cs="Arial"/>
          <w:b/>
          <w:bCs/>
          <w:i/>
          <w:iCs/>
          <w:sz w:val="22"/>
          <w:szCs w:val="22"/>
          <w:u w:val="single"/>
          <w:lang w:val="es-CO" w:eastAsia="es-CO"/>
        </w:rPr>
        <w:t>Los Oferentes</w:t>
      </w:r>
      <w:r w:rsidRPr="001F7D1D">
        <w:rPr>
          <w:rFonts w:ascii="Arial" w:hAnsi="Arial" w:cs="Arial"/>
          <w:i/>
          <w:iCs/>
          <w:sz w:val="22"/>
          <w:szCs w:val="22"/>
          <w:lang w:val="es-CO" w:eastAsia="es-CO"/>
        </w:rPr>
        <w:t xml:space="preserve"> podrán, de manera discrecional, presentar observaciones al informe de evaluación publicado por la ELC, en los términos señalados en el cronograma.</w:t>
      </w:r>
    </w:p>
    <w:p w14:paraId="51D73239" w14:textId="1430CC5F" w:rsidR="00A551B1" w:rsidRPr="001F7D1D" w:rsidRDefault="00C726F4" w:rsidP="00A551B1">
      <w:pPr>
        <w:ind w:left="1416"/>
        <w:jc w:val="both"/>
        <w:rPr>
          <w:rFonts w:ascii="Arial" w:hAnsi="Arial" w:cs="Arial"/>
          <w:i/>
          <w:iCs/>
          <w:sz w:val="22"/>
          <w:szCs w:val="22"/>
          <w:u w:val="single"/>
          <w:lang w:val="es-CO" w:eastAsia="es-CO"/>
        </w:rPr>
      </w:pPr>
      <w:r w:rsidRPr="001F7D1D">
        <w:rPr>
          <w:rFonts w:ascii="Arial" w:hAnsi="Arial" w:cs="Arial"/>
          <w:i/>
          <w:iCs/>
          <w:sz w:val="22"/>
          <w:szCs w:val="22"/>
          <w:lang w:val="es-CO" w:eastAsia="es-CO"/>
        </w:rPr>
        <w:t>La ELC dará respuesta a las observaciones hechas por los interesados y las publicará conforme a los términos del cronograma.</w:t>
      </w:r>
      <w:r w:rsidR="008D4BE1" w:rsidRPr="001F7D1D">
        <w:rPr>
          <w:rFonts w:ascii="Arial" w:hAnsi="Arial" w:cs="Arial"/>
          <w:i/>
          <w:iCs/>
          <w:sz w:val="22"/>
          <w:szCs w:val="22"/>
          <w:lang w:val="es-CO" w:eastAsia="es-CO"/>
        </w:rPr>
        <w:t>” (</w:t>
      </w:r>
      <w:r w:rsidR="008D4BE1" w:rsidRPr="001F7D1D">
        <w:rPr>
          <w:rFonts w:ascii="Arial" w:hAnsi="Arial" w:cs="Arial"/>
          <w:i/>
          <w:iCs/>
          <w:sz w:val="22"/>
          <w:szCs w:val="22"/>
          <w:u w:val="single"/>
          <w:lang w:val="es-CO" w:eastAsia="es-CO"/>
        </w:rPr>
        <w:t>Subraya fuera de texto)</w:t>
      </w:r>
    </w:p>
    <w:p w14:paraId="0617E5D5" w14:textId="77777777" w:rsidR="00A551B1" w:rsidRPr="001F7D1D" w:rsidRDefault="00A551B1" w:rsidP="00A551B1">
      <w:pPr>
        <w:jc w:val="both"/>
        <w:rPr>
          <w:rFonts w:ascii="Arial" w:hAnsi="Arial" w:cs="Arial"/>
          <w:i/>
          <w:iCs/>
          <w:sz w:val="22"/>
          <w:szCs w:val="22"/>
          <w:u w:val="single"/>
          <w:lang w:val="es-CO" w:eastAsia="es-CO"/>
        </w:rPr>
      </w:pPr>
    </w:p>
    <w:p w14:paraId="7AE1304E" w14:textId="4E944964" w:rsidR="00A551B1" w:rsidRPr="001F7D1D" w:rsidRDefault="00A551B1" w:rsidP="00A551B1">
      <w:pPr>
        <w:spacing w:after="120"/>
        <w:jc w:val="both"/>
        <w:rPr>
          <w:rFonts w:ascii="Arial" w:hAnsi="Arial" w:cs="Arial"/>
          <w:sz w:val="22"/>
          <w:szCs w:val="22"/>
          <w:lang w:val="es-CO" w:eastAsia="es-CO"/>
        </w:rPr>
      </w:pPr>
      <w:r w:rsidRPr="001F7D1D">
        <w:rPr>
          <w:rFonts w:ascii="Arial" w:hAnsi="Arial" w:cs="Arial"/>
          <w:sz w:val="22"/>
          <w:szCs w:val="22"/>
          <w:lang w:val="es-CO" w:eastAsia="es-CO"/>
        </w:rPr>
        <w:t>La Ley 1882 de 2018, en su artículo primero instituye:</w:t>
      </w:r>
    </w:p>
    <w:p w14:paraId="29D072C5" w14:textId="77777777" w:rsidR="001E0D0D" w:rsidRPr="001F7D1D" w:rsidRDefault="001E0D0D" w:rsidP="00A551B1">
      <w:pPr>
        <w:spacing w:after="120"/>
        <w:jc w:val="both"/>
        <w:rPr>
          <w:rFonts w:ascii="Arial" w:hAnsi="Arial" w:cs="Arial"/>
          <w:sz w:val="22"/>
          <w:szCs w:val="22"/>
          <w:lang w:val="es-CO" w:eastAsia="es-CO"/>
        </w:rPr>
      </w:pPr>
    </w:p>
    <w:p w14:paraId="24FA2807" w14:textId="13B723CD" w:rsidR="00A551B1" w:rsidRPr="001F7D1D" w:rsidRDefault="00A551B1" w:rsidP="00A551B1">
      <w:pPr>
        <w:spacing w:after="120"/>
        <w:ind w:left="708"/>
        <w:jc w:val="both"/>
        <w:rPr>
          <w:rFonts w:ascii="Arial" w:hAnsi="Arial" w:cs="Arial"/>
          <w:i/>
          <w:iCs/>
          <w:sz w:val="22"/>
          <w:szCs w:val="22"/>
          <w:lang w:val="es-CO" w:eastAsia="es-CO"/>
        </w:rPr>
      </w:pPr>
      <w:r w:rsidRPr="001F7D1D">
        <w:rPr>
          <w:rFonts w:ascii="Arial" w:hAnsi="Arial" w:cs="Arial"/>
          <w:i/>
          <w:iCs/>
          <w:sz w:val="22"/>
          <w:szCs w:val="22"/>
          <w:lang w:val="es-CO" w:eastAsia="es-CO"/>
        </w:rPr>
        <w:t>“ARTÍCULO  1. Adiciónense los parágrafos 2 y 3 del artículo 30 de la Ley 80 de 1993:</w:t>
      </w:r>
    </w:p>
    <w:p w14:paraId="6CDB1EAA" w14:textId="1D1F46F0" w:rsidR="00A551B1" w:rsidRPr="001F7D1D" w:rsidRDefault="00A551B1" w:rsidP="00A551B1">
      <w:pPr>
        <w:spacing w:after="120"/>
        <w:ind w:left="708"/>
        <w:jc w:val="both"/>
        <w:rPr>
          <w:rFonts w:ascii="Arial" w:hAnsi="Arial" w:cs="Arial"/>
          <w:i/>
          <w:iCs/>
          <w:sz w:val="22"/>
          <w:szCs w:val="22"/>
          <w:lang w:val="es-CO" w:eastAsia="es-CO"/>
        </w:rPr>
      </w:pPr>
      <w:r w:rsidRPr="001F7D1D">
        <w:rPr>
          <w:rFonts w:ascii="Arial" w:hAnsi="Arial" w:cs="Arial"/>
          <w:i/>
          <w:iCs/>
          <w:sz w:val="22"/>
          <w:szCs w:val="22"/>
          <w:lang w:val="es-CO" w:eastAsia="es-CO"/>
        </w:rPr>
        <w:t>(…)</w:t>
      </w:r>
    </w:p>
    <w:p w14:paraId="2C9751E9" w14:textId="0BE15F6C" w:rsidR="00A551B1" w:rsidRPr="001F7D1D" w:rsidRDefault="00A551B1" w:rsidP="001E0D0D">
      <w:pPr>
        <w:spacing w:after="120"/>
        <w:ind w:left="708"/>
        <w:jc w:val="both"/>
        <w:rPr>
          <w:rFonts w:ascii="Arial" w:hAnsi="Arial" w:cs="Arial"/>
          <w:i/>
          <w:iCs/>
          <w:sz w:val="22"/>
          <w:szCs w:val="22"/>
          <w:lang w:val="es-CO" w:eastAsia="es-CO"/>
        </w:rPr>
      </w:pPr>
      <w:r w:rsidRPr="001F7D1D">
        <w:rPr>
          <w:rFonts w:ascii="Arial" w:hAnsi="Arial" w:cs="Arial"/>
          <w:i/>
          <w:iCs/>
          <w:sz w:val="22"/>
          <w:szCs w:val="22"/>
          <w:lang w:val="es-CO" w:eastAsia="es-CO"/>
        </w:rPr>
        <w:t>PARÁGRAFO  3. En los procesos de licitación pública para seleccionar contratistas de obra pública, las entidades estatales deberán publicar el informe de evaluación relacionado con los documentos de los requisitos habilitantes y los requisitos que sean objeto de puntuación diferente a la oferta económica incluida en el primer sobre, dentro del plazo establecido en el pliego de condiciones.</w:t>
      </w:r>
    </w:p>
    <w:p w14:paraId="2459775D" w14:textId="73E531DB" w:rsidR="00A551B1" w:rsidRPr="001F7D1D" w:rsidRDefault="00A551B1" w:rsidP="00A551B1">
      <w:pPr>
        <w:spacing w:after="120"/>
        <w:ind w:left="708"/>
        <w:jc w:val="both"/>
        <w:rPr>
          <w:rFonts w:ascii="Arial" w:hAnsi="Arial" w:cs="Arial"/>
          <w:i/>
          <w:iCs/>
          <w:sz w:val="22"/>
          <w:szCs w:val="22"/>
          <w:lang w:val="es-CO" w:eastAsia="es-CO"/>
        </w:rPr>
      </w:pPr>
      <w:r w:rsidRPr="001F7D1D">
        <w:rPr>
          <w:rFonts w:ascii="Arial" w:hAnsi="Arial" w:cs="Arial"/>
          <w:i/>
          <w:iCs/>
          <w:sz w:val="22"/>
          <w:szCs w:val="22"/>
          <w:lang w:val="es-CO" w:eastAsia="es-CO"/>
        </w:rPr>
        <w:t xml:space="preserve">En estos procesos el informe permanecerá publicado en el </w:t>
      </w:r>
      <w:proofErr w:type="spellStart"/>
      <w:r w:rsidRPr="001F7D1D">
        <w:rPr>
          <w:rFonts w:ascii="Arial" w:hAnsi="Arial" w:cs="Arial"/>
          <w:i/>
          <w:iCs/>
          <w:sz w:val="22"/>
          <w:szCs w:val="22"/>
          <w:lang w:val="es-CO" w:eastAsia="es-CO"/>
        </w:rPr>
        <w:t>Secop</w:t>
      </w:r>
      <w:proofErr w:type="spellEnd"/>
      <w:r w:rsidRPr="001F7D1D">
        <w:rPr>
          <w:rFonts w:ascii="Arial" w:hAnsi="Arial" w:cs="Arial"/>
          <w:i/>
          <w:iCs/>
          <w:sz w:val="22"/>
          <w:szCs w:val="22"/>
          <w:lang w:val="es-CO" w:eastAsia="es-CO"/>
        </w:rPr>
        <w:t xml:space="preserve"> durante cinco (5) días hábiles, </w:t>
      </w:r>
      <w:r w:rsidRPr="001F7D1D">
        <w:rPr>
          <w:rFonts w:ascii="Arial" w:hAnsi="Arial" w:cs="Arial"/>
          <w:b/>
          <w:bCs/>
          <w:i/>
          <w:iCs/>
          <w:sz w:val="22"/>
          <w:szCs w:val="22"/>
          <w:u w:val="single"/>
          <w:lang w:val="es-CO" w:eastAsia="es-CO"/>
        </w:rPr>
        <w:t>termino hasta el cual los proponentes podrán hacer las observaciones que consideren y entregar los documentos y la información solicitada por la entidad estatal</w:t>
      </w:r>
      <w:r w:rsidRPr="001F7D1D">
        <w:rPr>
          <w:rFonts w:ascii="Arial" w:hAnsi="Arial" w:cs="Arial"/>
          <w:i/>
          <w:iCs/>
          <w:sz w:val="22"/>
          <w:szCs w:val="22"/>
          <w:u w:val="single"/>
          <w:lang w:val="es-CO" w:eastAsia="es-CO"/>
        </w:rPr>
        <w:t>.</w:t>
      </w:r>
      <w:r w:rsidRPr="001F7D1D">
        <w:rPr>
          <w:rFonts w:ascii="Arial" w:hAnsi="Arial" w:cs="Arial"/>
          <w:i/>
          <w:iCs/>
          <w:sz w:val="22"/>
          <w:szCs w:val="22"/>
          <w:lang w:val="es-CO" w:eastAsia="es-CO"/>
        </w:rPr>
        <w:t xml:space="preserve"> Al finalizar este plazo, la entidad estatal se pronunciará sobre las observaciones y publicará el informe final de evaluación de los requisitos habilitantes y los requisitos objeto de puntuación distintos a la oferta económica.</w:t>
      </w:r>
    </w:p>
    <w:p w14:paraId="028B1517" w14:textId="5C978177" w:rsidR="00A551B1" w:rsidRPr="001F7D1D" w:rsidRDefault="00A551B1" w:rsidP="00A551B1">
      <w:pPr>
        <w:spacing w:after="120"/>
        <w:ind w:left="708"/>
        <w:jc w:val="both"/>
        <w:rPr>
          <w:rFonts w:ascii="Arial" w:hAnsi="Arial" w:cs="Arial"/>
          <w:i/>
          <w:iCs/>
          <w:sz w:val="22"/>
          <w:szCs w:val="22"/>
          <w:lang w:val="es-CO" w:eastAsia="es-CO"/>
        </w:rPr>
      </w:pPr>
      <w:r w:rsidRPr="001F7D1D">
        <w:rPr>
          <w:rFonts w:ascii="Arial" w:hAnsi="Arial" w:cs="Arial"/>
          <w:i/>
          <w:iCs/>
          <w:sz w:val="22"/>
          <w:szCs w:val="22"/>
          <w:lang w:val="es-CO" w:eastAsia="es-CO"/>
        </w:rPr>
        <w:t>Para estos procesos, el segundo sobre, que contiene la oferta económica, se mantendrá cerrado hasta la audiencia efectiva de adjudicación, momento en el cual se podrán hacer observaciones al informe de evaluación, las cuales se decidirán en la misma. Durante esta audiencia se dará apertura al sobre, se evaluará la oferta económica a través del mecanismo escogido mediante el método aleatorio que se establezca en los pliegos de condiciones, corriendo traslado a los proponentes habilitados en la misma diligencia solo para la revisión del aspecto económico y se establecerá el orden de elegibilidad</w:t>
      </w:r>
      <w:r w:rsidR="001E0D0D" w:rsidRPr="001F7D1D">
        <w:rPr>
          <w:rFonts w:ascii="Arial" w:hAnsi="Arial" w:cs="Arial"/>
          <w:i/>
          <w:iCs/>
          <w:sz w:val="22"/>
          <w:szCs w:val="22"/>
          <w:lang w:val="es-CO" w:eastAsia="es-CO"/>
        </w:rPr>
        <w:t>”</w:t>
      </w:r>
      <w:r w:rsidRPr="001F7D1D">
        <w:rPr>
          <w:rFonts w:ascii="Arial" w:hAnsi="Arial" w:cs="Arial"/>
          <w:i/>
          <w:iCs/>
          <w:sz w:val="22"/>
          <w:szCs w:val="22"/>
          <w:lang w:val="es-CO" w:eastAsia="es-CO"/>
        </w:rPr>
        <w:t>.</w:t>
      </w:r>
    </w:p>
    <w:p w14:paraId="3B4E86C0" w14:textId="77777777" w:rsidR="001E0D0D" w:rsidRPr="001F7D1D" w:rsidRDefault="001E0D0D" w:rsidP="00A551B1">
      <w:pPr>
        <w:spacing w:after="120"/>
        <w:ind w:left="708"/>
        <w:jc w:val="both"/>
        <w:rPr>
          <w:rFonts w:ascii="Arial" w:hAnsi="Arial" w:cs="Arial"/>
          <w:i/>
          <w:iCs/>
          <w:sz w:val="22"/>
          <w:szCs w:val="22"/>
          <w:lang w:val="es-CO" w:eastAsia="es-CO"/>
        </w:rPr>
      </w:pPr>
    </w:p>
    <w:p w14:paraId="4FDECD43" w14:textId="73265D88" w:rsidR="00F63B14" w:rsidRPr="001F7D1D" w:rsidRDefault="00025367" w:rsidP="00EB4B10">
      <w:pPr>
        <w:jc w:val="both"/>
        <w:rPr>
          <w:rFonts w:ascii="Arial" w:hAnsi="Arial" w:cs="Arial"/>
          <w:sz w:val="22"/>
          <w:szCs w:val="22"/>
        </w:rPr>
      </w:pPr>
      <w:r w:rsidRPr="001F7D1D">
        <w:rPr>
          <w:rFonts w:ascii="Arial" w:hAnsi="Arial" w:cs="Arial"/>
          <w:sz w:val="22"/>
          <w:szCs w:val="22"/>
          <w:lang w:val="es-CO" w:eastAsia="es-CO"/>
        </w:rPr>
        <w:t>Respecto al traslado de evaluaciones, el Consejo de Estado mediante la consulta No. 11001-03-06-000-2007-00101-00, considera que dichos traslados se generan para otorgarle la facultad a los oferentes de conocer los informes, conceptos y decisiones producid</w:t>
      </w:r>
      <w:r w:rsidR="00AB3612" w:rsidRPr="001F7D1D">
        <w:rPr>
          <w:rFonts w:ascii="Arial" w:hAnsi="Arial" w:cs="Arial"/>
          <w:sz w:val="22"/>
          <w:szCs w:val="22"/>
          <w:lang w:val="es-CO" w:eastAsia="es-CO"/>
        </w:rPr>
        <w:t>a</w:t>
      </w:r>
      <w:r w:rsidRPr="001F7D1D">
        <w:rPr>
          <w:rFonts w:ascii="Arial" w:hAnsi="Arial" w:cs="Arial"/>
          <w:sz w:val="22"/>
          <w:szCs w:val="22"/>
          <w:lang w:val="es-CO" w:eastAsia="es-CO"/>
        </w:rPr>
        <w:t>s dentro del proceso contractual</w:t>
      </w:r>
      <w:r w:rsidR="00670D37" w:rsidRPr="001F7D1D">
        <w:rPr>
          <w:rFonts w:ascii="Arial" w:hAnsi="Arial" w:cs="Arial"/>
          <w:sz w:val="22"/>
          <w:szCs w:val="22"/>
          <w:lang w:val="es-CO" w:eastAsia="es-CO"/>
        </w:rPr>
        <w:t>, para que puedan ser discutidos o controvertidos con la finalidad de preservar la igualdad de oportunidades</w:t>
      </w:r>
      <w:r w:rsidR="00AB3612" w:rsidRPr="001F7D1D">
        <w:rPr>
          <w:rFonts w:ascii="Arial" w:hAnsi="Arial" w:cs="Arial"/>
          <w:sz w:val="22"/>
          <w:szCs w:val="22"/>
          <w:lang w:val="es-CO" w:eastAsia="es-CO"/>
        </w:rPr>
        <w:t>. A</w:t>
      </w:r>
      <w:r w:rsidR="00670D37" w:rsidRPr="001F7D1D">
        <w:rPr>
          <w:rFonts w:ascii="Arial" w:hAnsi="Arial" w:cs="Arial"/>
          <w:sz w:val="22"/>
          <w:szCs w:val="22"/>
          <w:lang w:val="es-CO" w:eastAsia="es-CO"/>
        </w:rPr>
        <w:t>dicionalmente, el Consejo de Estado considera que existen dos momentos diferentes en los procesos de escogencia para realizar las pertinentes observaciones</w:t>
      </w:r>
      <w:r w:rsidR="00D30A84" w:rsidRPr="001F7D1D">
        <w:rPr>
          <w:rFonts w:ascii="Arial" w:hAnsi="Arial" w:cs="Arial"/>
          <w:sz w:val="22"/>
          <w:szCs w:val="22"/>
          <w:lang w:val="es-CO" w:eastAsia="es-CO"/>
        </w:rPr>
        <w:t xml:space="preserve">; </w:t>
      </w:r>
      <w:r w:rsidR="00670D37" w:rsidRPr="001F7D1D">
        <w:rPr>
          <w:rFonts w:ascii="Arial" w:hAnsi="Arial" w:cs="Arial"/>
          <w:sz w:val="22"/>
          <w:szCs w:val="22"/>
        </w:rPr>
        <w:t>uno</w:t>
      </w:r>
      <w:r w:rsidR="00D30A84" w:rsidRPr="001F7D1D">
        <w:rPr>
          <w:rFonts w:ascii="Arial" w:hAnsi="Arial" w:cs="Arial"/>
          <w:sz w:val="22"/>
          <w:szCs w:val="22"/>
        </w:rPr>
        <w:t xml:space="preserve"> de ellos para que los </w:t>
      </w:r>
      <w:r w:rsidR="00AB3612" w:rsidRPr="001F7D1D">
        <w:rPr>
          <w:rFonts w:ascii="Arial" w:hAnsi="Arial" w:cs="Arial"/>
          <w:sz w:val="22"/>
          <w:szCs w:val="22"/>
        </w:rPr>
        <w:t>posibles proponentes</w:t>
      </w:r>
      <w:r w:rsidR="00670D37" w:rsidRPr="001F7D1D">
        <w:rPr>
          <w:rFonts w:ascii="Arial" w:hAnsi="Arial" w:cs="Arial"/>
          <w:sz w:val="22"/>
          <w:szCs w:val="22"/>
        </w:rPr>
        <w:t xml:space="preserve"> se pronuncien sobre el estudio y las decisiones adoptadas por la entidad pública en relación con los requisitos habilitantes; otro, para que los oferentes se pronuncien sobre el informe de evaluación de propuestas</w:t>
      </w:r>
      <w:r w:rsidR="001E0D0D" w:rsidRPr="001F7D1D">
        <w:rPr>
          <w:rFonts w:ascii="Arial" w:hAnsi="Arial" w:cs="Arial"/>
          <w:sz w:val="22"/>
          <w:szCs w:val="22"/>
        </w:rPr>
        <w:t>.</w:t>
      </w:r>
    </w:p>
    <w:p w14:paraId="21DF21C5" w14:textId="77777777" w:rsidR="001E0D0D" w:rsidRPr="001F7D1D" w:rsidRDefault="001E0D0D" w:rsidP="00EB4B10">
      <w:pPr>
        <w:jc w:val="both"/>
        <w:rPr>
          <w:rFonts w:ascii="Arial" w:hAnsi="Arial" w:cs="Arial"/>
          <w:sz w:val="22"/>
          <w:szCs w:val="22"/>
        </w:rPr>
      </w:pPr>
    </w:p>
    <w:p w14:paraId="5E91D00B" w14:textId="04873F86" w:rsidR="00AB3612" w:rsidRPr="001F7D1D" w:rsidRDefault="001E0D0D" w:rsidP="00EB4B10">
      <w:pPr>
        <w:jc w:val="both"/>
        <w:rPr>
          <w:rFonts w:ascii="Arial" w:hAnsi="Arial" w:cs="Arial"/>
          <w:sz w:val="22"/>
          <w:szCs w:val="22"/>
        </w:rPr>
      </w:pPr>
      <w:r w:rsidRPr="001F7D1D">
        <w:rPr>
          <w:rFonts w:ascii="Arial" w:hAnsi="Arial" w:cs="Arial"/>
          <w:sz w:val="22"/>
          <w:szCs w:val="22"/>
        </w:rPr>
        <w:t>Como anteriormente se estableció</w:t>
      </w:r>
      <w:r w:rsidR="00F63B14" w:rsidRPr="001F7D1D">
        <w:rPr>
          <w:rFonts w:ascii="Arial" w:hAnsi="Arial" w:cs="Arial"/>
          <w:sz w:val="22"/>
          <w:szCs w:val="22"/>
        </w:rPr>
        <w:t>,</w:t>
      </w:r>
      <w:r w:rsidR="001E20E2" w:rsidRPr="001F7D1D">
        <w:rPr>
          <w:rFonts w:ascii="Arial" w:hAnsi="Arial" w:cs="Arial"/>
          <w:sz w:val="22"/>
          <w:szCs w:val="22"/>
        </w:rPr>
        <w:t xml:space="preserve"> </w:t>
      </w:r>
      <w:r w:rsidR="00755CD5" w:rsidRPr="001F7D1D">
        <w:rPr>
          <w:rFonts w:ascii="Arial" w:hAnsi="Arial" w:cs="Arial"/>
          <w:sz w:val="22"/>
          <w:szCs w:val="22"/>
        </w:rPr>
        <w:t xml:space="preserve">nos permitimos informarle que  </w:t>
      </w:r>
      <w:r w:rsidR="00F63B14" w:rsidRPr="001F7D1D">
        <w:rPr>
          <w:rFonts w:ascii="Arial" w:hAnsi="Arial" w:cs="Arial"/>
          <w:sz w:val="22"/>
          <w:szCs w:val="22"/>
        </w:rPr>
        <w:t xml:space="preserve">la </w:t>
      </w:r>
      <w:r w:rsidR="00A551B1" w:rsidRPr="001F7D1D">
        <w:rPr>
          <w:rFonts w:ascii="Arial" w:hAnsi="Arial" w:cs="Arial"/>
          <w:sz w:val="22"/>
          <w:szCs w:val="22"/>
        </w:rPr>
        <w:t xml:space="preserve">Empresa de Licores de </w:t>
      </w:r>
      <w:r w:rsidR="0026271A" w:rsidRPr="001F7D1D">
        <w:rPr>
          <w:rFonts w:ascii="Arial" w:hAnsi="Arial" w:cs="Arial"/>
          <w:sz w:val="22"/>
          <w:szCs w:val="22"/>
        </w:rPr>
        <w:t xml:space="preserve">Cundinamarca </w:t>
      </w:r>
      <w:r w:rsidR="00A817F9" w:rsidRPr="001F7D1D">
        <w:rPr>
          <w:rFonts w:ascii="Arial" w:hAnsi="Arial" w:cs="Arial"/>
          <w:sz w:val="22"/>
          <w:szCs w:val="22"/>
        </w:rPr>
        <w:t>no está sometida al Estatuto General de Contratación de la Administración Publica de acuerdo al Artículo 14 de la ley 1150 de 2007</w:t>
      </w:r>
      <w:r w:rsidR="0026271A" w:rsidRPr="001F7D1D">
        <w:rPr>
          <w:rFonts w:ascii="Arial" w:hAnsi="Arial" w:cs="Arial"/>
          <w:sz w:val="22"/>
          <w:szCs w:val="22"/>
        </w:rPr>
        <w:t xml:space="preserve">, por el contrario, </w:t>
      </w:r>
      <w:r w:rsidR="00A817F9" w:rsidRPr="001F7D1D">
        <w:rPr>
          <w:rFonts w:ascii="Arial" w:hAnsi="Arial" w:cs="Arial"/>
          <w:sz w:val="22"/>
          <w:szCs w:val="22"/>
        </w:rPr>
        <w:t>su régimen  es especial</w:t>
      </w:r>
      <w:r w:rsidR="0026271A" w:rsidRPr="001F7D1D">
        <w:rPr>
          <w:rFonts w:ascii="Arial" w:hAnsi="Arial" w:cs="Arial"/>
          <w:sz w:val="22"/>
          <w:szCs w:val="22"/>
        </w:rPr>
        <w:t>,</w:t>
      </w:r>
      <w:r w:rsidR="00A817F9" w:rsidRPr="001F7D1D">
        <w:rPr>
          <w:rFonts w:ascii="Arial" w:hAnsi="Arial" w:cs="Arial"/>
          <w:sz w:val="22"/>
          <w:szCs w:val="22"/>
        </w:rPr>
        <w:t xml:space="preserve"> por lo que, </w:t>
      </w:r>
      <w:r w:rsidR="0026271A" w:rsidRPr="001F7D1D">
        <w:rPr>
          <w:rFonts w:ascii="Arial" w:hAnsi="Arial" w:cs="Arial"/>
          <w:sz w:val="22"/>
          <w:szCs w:val="22"/>
        </w:rPr>
        <w:t xml:space="preserve"> la ELC cuenta con su propio manual de contratación para adelantar sus procesos</w:t>
      </w:r>
      <w:r w:rsidR="00A817F9" w:rsidRPr="001F7D1D">
        <w:rPr>
          <w:rFonts w:ascii="Arial" w:hAnsi="Arial" w:cs="Arial"/>
          <w:sz w:val="22"/>
          <w:szCs w:val="22"/>
        </w:rPr>
        <w:t xml:space="preserve"> Contractuales, s</w:t>
      </w:r>
      <w:r w:rsidR="0026271A" w:rsidRPr="001F7D1D">
        <w:rPr>
          <w:rFonts w:ascii="Arial" w:hAnsi="Arial" w:cs="Arial"/>
          <w:sz w:val="22"/>
          <w:szCs w:val="22"/>
        </w:rPr>
        <w:t>in embargo, se rige bajo a los principios de la contratación estatal y, no por ello, además de no tener un poder vinculante, es ajena, a lo dispuesto por el Gobierno Nacional sobre la materia.</w:t>
      </w:r>
    </w:p>
    <w:p w14:paraId="539CA28A" w14:textId="77777777" w:rsidR="00EB4B10" w:rsidRPr="001F7D1D" w:rsidRDefault="00EB4B10" w:rsidP="00EB4B10">
      <w:pPr>
        <w:jc w:val="both"/>
        <w:rPr>
          <w:rFonts w:ascii="Arial" w:hAnsi="Arial" w:cs="Arial"/>
          <w:sz w:val="22"/>
          <w:szCs w:val="22"/>
        </w:rPr>
      </w:pPr>
    </w:p>
    <w:p w14:paraId="639EF124" w14:textId="054EBB3B" w:rsidR="00C9729D" w:rsidRDefault="00D41063" w:rsidP="00F70266">
      <w:pPr>
        <w:jc w:val="both"/>
        <w:rPr>
          <w:rFonts w:ascii="Arial" w:hAnsi="Arial" w:cs="Arial"/>
          <w:sz w:val="22"/>
          <w:szCs w:val="22"/>
          <w:lang w:val="es-CO" w:eastAsia="es-CO"/>
        </w:rPr>
      </w:pPr>
      <w:r w:rsidRPr="001F7D1D">
        <w:rPr>
          <w:rFonts w:ascii="Arial" w:hAnsi="Arial" w:cs="Arial"/>
          <w:sz w:val="22"/>
          <w:szCs w:val="22"/>
          <w:lang w:val="es-CO" w:eastAsia="es-CO"/>
        </w:rPr>
        <w:t>Ahora bien, teniendo en cuenta lo anteriormente expuesto, y una vez revisa la observación presentada por la señora “Gloria Hernández” en la cual no se identifica como parte del proceso (oferente</w:t>
      </w:r>
      <w:r w:rsidR="002A2329" w:rsidRPr="001F7D1D">
        <w:rPr>
          <w:rFonts w:ascii="Arial" w:hAnsi="Arial" w:cs="Arial"/>
          <w:sz w:val="22"/>
          <w:szCs w:val="22"/>
          <w:lang w:val="es-CO" w:eastAsia="es-CO"/>
        </w:rPr>
        <w:t xml:space="preserve">), </w:t>
      </w:r>
      <w:r w:rsidR="00AF1F5B">
        <w:rPr>
          <w:rFonts w:ascii="Arial" w:hAnsi="Arial" w:cs="Arial"/>
          <w:sz w:val="22"/>
          <w:szCs w:val="22"/>
          <w:lang w:val="es-CO" w:eastAsia="es-CO"/>
        </w:rPr>
        <w:t xml:space="preserve">se </w:t>
      </w:r>
      <w:r w:rsidR="00AF1F5B" w:rsidRPr="001F7D1D">
        <w:rPr>
          <w:rFonts w:ascii="Arial" w:hAnsi="Arial" w:cs="Arial"/>
          <w:sz w:val="22"/>
          <w:szCs w:val="22"/>
          <w:lang w:val="es-CO" w:eastAsia="es-CO"/>
        </w:rPr>
        <w:t>evidencia</w:t>
      </w:r>
      <w:r w:rsidR="00AF1F5B">
        <w:rPr>
          <w:rFonts w:ascii="Arial" w:hAnsi="Arial" w:cs="Arial"/>
          <w:sz w:val="22"/>
          <w:szCs w:val="22"/>
          <w:lang w:val="es-CO" w:eastAsia="es-CO"/>
        </w:rPr>
        <w:t xml:space="preserve"> </w:t>
      </w:r>
      <w:r w:rsidR="002A2329" w:rsidRPr="001F7D1D">
        <w:rPr>
          <w:rFonts w:ascii="Arial" w:hAnsi="Arial" w:cs="Arial"/>
          <w:sz w:val="22"/>
          <w:szCs w:val="22"/>
          <w:lang w:val="es-CO" w:eastAsia="es-CO"/>
        </w:rPr>
        <w:t xml:space="preserve">por parte </w:t>
      </w:r>
      <w:r w:rsidR="00AF1F5B">
        <w:rPr>
          <w:rFonts w:ascii="Arial" w:hAnsi="Arial" w:cs="Arial"/>
          <w:sz w:val="22"/>
          <w:szCs w:val="22"/>
          <w:lang w:val="es-CO" w:eastAsia="es-CO"/>
        </w:rPr>
        <w:t xml:space="preserve">de la entidad </w:t>
      </w:r>
      <w:r w:rsidR="002A2329" w:rsidRPr="00AF1F5B">
        <w:rPr>
          <w:rFonts w:ascii="Arial" w:hAnsi="Arial" w:cs="Arial"/>
          <w:sz w:val="22"/>
          <w:szCs w:val="22"/>
          <w:u w:val="single"/>
          <w:lang w:val="es-CO" w:eastAsia="es-CO"/>
        </w:rPr>
        <w:t xml:space="preserve">la </w:t>
      </w:r>
      <w:r w:rsidR="00F70266" w:rsidRPr="00AF1F5B">
        <w:rPr>
          <w:rFonts w:ascii="Arial" w:hAnsi="Arial" w:cs="Arial"/>
          <w:sz w:val="22"/>
          <w:szCs w:val="22"/>
          <w:u w:val="single"/>
          <w:lang w:val="es-CO" w:eastAsia="es-CO"/>
        </w:rPr>
        <w:t>improcedencia de su solicitud</w:t>
      </w:r>
      <w:r w:rsidR="00F70266" w:rsidRPr="001F7D1D">
        <w:rPr>
          <w:rFonts w:ascii="Arial" w:hAnsi="Arial" w:cs="Arial"/>
          <w:sz w:val="22"/>
          <w:szCs w:val="22"/>
          <w:lang w:val="es-CO" w:eastAsia="es-CO"/>
        </w:rPr>
        <w:t xml:space="preserve"> en la etapa en la que cursa el proceso</w:t>
      </w:r>
      <w:r w:rsidR="00C9729D">
        <w:rPr>
          <w:rFonts w:ascii="Arial" w:hAnsi="Arial" w:cs="Arial"/>
          <w:sz w:val="22"/>
          <w:szCs w:val="22"/>
          <w:lang w:val="es-CO" w:eastAsia="es-CO"/>
        </w:rPr>
        <w:t>.</w:t>
      </w:r>
    </w:p>
    <w:p w14:paraId="076A592A" w14:textId="77777777" w:rsidR="00C9729D" w:rsidRDefault="00C9729D" w:rsidP="00F70266">
      <w:pPr>
        <w:jc w:val="both"/>
        <w:rPr>
          <w:rFonts w:ascii="Arial" w:hAnsi="Arial" w:cs="Arial"/>
          <w:sz w:val="22"/>
          <w:szCs w:val="22"/>
          <w:lang w:val="es-CO" w:eastAsia="es-CO"/>
        </w:rPr>
      </w:pPr>
    </w:p>
    <w:p w14:paraId="13492F6B" w14:textId="2DF57FA5" w:rsidR="008C2C92" w:rsidRPr="001F7D1D" w:rsidRDefault="00B02B96" w:rsidP="00F70266">
      <w:pPr>
        <w:jc w:val="both"/>
        <w:rPr>
          <w:rFonts w:ascii="Arial" w:hAnsi="Arial" w:cs="Arial"/>
          <w:sz w:val="22"/>
          <w:szCs w:val="22"/>
          <w:lang w:val="es-CO" w:eastAsia="es-CO"/>
        </w:rPr>
      </w:pPr>
      <w:r>
        <w:rPr>
          <w:rFonts w:ascii="Arial" w:hAnsi="Arial" w:cs="Arial"/>
          <w:sz w:val="22"/>
          <w:szCs w:val="22"/>
          <w:lang w:val="es-CO" w:eastAsia="es-CO"/>
        </w:rPr>
        <w:t xml:space="preserve">No </w:t>
      </w:r>
      <w:r w:rsidR="00A22F72">
        <w:rPr>
          <w:rFonts w:ascii="Arial" w:hAnsi="Arial" w:cs="Arial"/>
          <w:sz w:val="22"/>
          <w:szCs w:val="22"/>
          <w:lang w:val="es-CO" w:eastAsia="es-CO"/>
        </w:rPr>
        <w:t>obstante,</w:t>
      </w:r>
      <w:r>
        <w:rPr>
          <w:rFonts w:ascii="Arial" w:hAnsi="Arial" w:cs="Arial"/>
          <w:sz w:val="22"/>
          <w:szCs w:val="22"/>
          <w:lang w:val="es-CO" w:eastAsia="es-CO"/>
        </w:rPr>
        <w:t xml:space="preserve"> lo anterior, </w:t>
      </w:r>
      <w:r w:rsidR="00F70266" w:rsidRPr="001F7D1D">
        <w:rPr>
          <w:rFonts w:ascii="Arial" w:hAnsi="Arial" w:cs="Arial"/>
          <w:sz w:val="22"/>
          <w:szCs w:val="22"/>
          <w:lang w:val="es-CO" w:eastAsia="es-CO"/>
        </w:rPr>
        <w:t>e</w:t>
      </w:r>
      <w:r w:rsidR="00966269" w:rsidRPr="001F7D1D">
        <w:rPr>
          <w:rFonts w:ascii="Arial" w:hAnsi="Arial" w:cs="Arial"/>
          <w:sz w:val="22"/>
          <w:szCs w:val="22"/>
          <w:lang w:val="es-CO" w:eastAsia="es-CO"/>
        </w:rPr>
        <w:t xml:space="preserve">n aras de brindar </w:t>
      </w:r>
      <w:r w:rsidR="00DC13F1" w:rsidRPr="001F7D1D">
        <w:rPr>
          <w:rFonts w:ascii="Arial" w:hAnsi="Arial" w:cs="Arial"/>
          <w:sz w:val="22"/>
          <w:szCs w:val="22"/>
          <w:lang w:val="es-CO" w:eastAsia="es-CO"/>
        </w:rPr>
        <w:t>una respuesta</w:t>
      </w:r>
      <w:r w:rsidR="00966269" w:rsidRPr="001F7D1D">
        <w:rPr>
          <w:rFonts w:ascii="Arial" w:hAnsi="Arial" w:cs="Arial"/>
          <w:sz w:val="22"/>
          <w:szCs w:val="22"/>
          <w:lang w:val="es-CO" w:eastAsia="es-CO"/>
        </w:rPr>
        <w:t xml:space="preserve">, </w:t>
      </w:r>
      <w:r w:rsidR="00DC13F1" w:rsidRPr="001F7D1D">
        <w:rPr>
          <w:rFonts w:ascii="Arial" w:hAnsi="Arial" w:cs="Arial"/>
          <w:sz w:val="22"/>
          <w:szCs w:val="22"/>
          <w:lang w:val="es-CO" w:eastAsia="es-CO"/>
        </w:rPr>
        <w:t xml:space="preserve">frente a los cuestionamientos planteados en su escrito es impórtate </w:t>
      </w:r>
      <w:r w:rsidR="00A3691F" w:rsidRPr="001F7D1D">
        <w:rPr>
          <w:rFonts w:ascii="Arial" w:hAnsi="Arial" w:cs="Arial"/>
          <w:sz w:val="22"/>
          <w:szCs w:val="22"/>
          <w:lang w:val="es-CO" w:eastAsia="es-CO"/>
        </w:rPr>
        <w:t xml:space="preserve">manifestarle </w:t>
      </w:r>
      <w:r w:rsidR="00DC13F1" w:rsidRPr="001F7D1D">
        <w:rPr>
          <w:rFonts w:ascii="Arial" w:hAnsi="Arial" w:cs="Arial"/>
          <w:sz w:val="22"/>
          <w:szCs w:val="22"/>
          <w:lang w:val="es-CO" w:eastAsia="es-CO"/>
        </w:rPr>
        <w:t xml:space="preserve">que la información financiera presentada por el oferente </w:t>
      </w:r>
      <w:r w:rsidR="008C2C92" w:rsidRPr="001F7D1D">
        <w:rPr>
          <w:rFonts w:ascii="Arial" w:hAnsi="Arial" w:cs="Arial"/>
          <w:sz w:val="22"/>
          <w:szCs w:val="22"/>
          <w:lang w:val="es-CO" w:eastAsia="es-CO"/>
        </w:rPr>
        <w:t>INVERAL SOLUCIONES</w:t>
      </w:r>
      <w:r w:rsidR="00A3691F" w:rsidRPr="001F7D1D">
        <w:rPr>
          <w:rFonts w:ascii="Arial" w:hAnsi="Arial" w:cs="Arial"/>
          <w:sz w:val="22"/>
          <w:szCs w:val="22"/>
          <w:lang w:val="es-CO" w:eastAsia="es-CO"/>
        </w:rPr>
        <w:t xml:space="preserve"> SAS, corresponde al </w:t>
      </w:r>
      <w:r w:rsidR="00A3691F" w:rsidRPr="001F7D1D">
        <w:rPr>
          <w:rFonts w:ascii="Arial" w:hAnsi="Arial" w:cs="Arial"/>
          <w:sz w:val="22"/>
          <w:szCs w:val="22"/>
          <w:u w:val="single"/>
          <w:lang w:val="es-CO" w:eastAsia="es-CO"/>
        </w:rPr>
        <w:t>corte 30 de agosto de 2022</w:t>
      </w:r>
      <w:r w:rsidR="00A3691F" w:rsidRPr="001F7D1D">
        <w:rPr>
          <w:rFonts w:ascii="Arial" w:hAnsi="Arial" w:cs="Arial"/>
          <w:sz w:val="22"/>
          <w:szCs w:val="22"/>
          <w:lang w:val="es-CO" w:eastAsia="es-CO"/>
        </w:rPr>
        <w:t xml:space="preserve">, situación permitida en la invitación publica, donde se </w:t>
      </w:r>
      <w:r w:rsidR="00431EDF" w:rsidRPr="001F7D1D">
        <w:rPr>
          <w:rFonts w:ascii="Arial" w:hAnsi="Arial" w:cs="Arial"/>
          <w:sz w:val="22"/>
          <w:szCs w:val="22"/>
          <w:lang w:val="es-CO" w:eastAsia="es-CO"/>
        </w:rPr>
        <w:t>señaló</w:t>
      </w:r>
      <w:r w:rsidR="00A3691F" w:rsidRPr="001F7D1D">
        <w:rPr>
          <w:rFonts w:ascii="Arial" w:hAnsi="Arial" w:cs="Arial"/>
          <w:sz w:val="22"/>
          <w:szCs w:val="22"/>
          <w:lang w:val="es-CO" w:eastAsia="es-CO"/>
        </w:rPr>
        <w:t>:</w:t>
      </w:r>
    </w:p>
    <w:p w14:paraId="775EA6B2" w14:textId="77777777" w:rsidR="008C2C92" w:rsidRPr="001F7D1D" w:rsidRDefault="008C2C92" w:rsidP="008C2C92">
      <w:pPr>
        <w:widowControl w:val="0"/>
        <w:suppressAutoHyphens/>
        <w:rPr>
          <w:rFonts w:ascii="Arial" w:hAnsi="Arial" w:cs="Arial"/>
          <w:sz w:val="22"/>
          <w:szCs w:val="22"/>
          <w:lang w:val="es-CO" w:eastAsia="es-CO"/>
        </w:rPr>
      </w:pPr>
    </w:p>
    <w:p w14:paraId="2466A990" w14:textId="6B178D0B" w:rsidR="008C2C92" w:rsidRPr="00434FF0" w:rsidRDefault="00A3691F" w:rsidP="008C2C92">
      <w:pPr>
        <w:widowControl w:val="0"/>
        <w:suppressAutoHyphens/>
        <w:ind w:left="851" w:right="902"/>
        <w:rPr>
          <w:rFonts w:ascii="Arial" w:eastAsia="Arial Unicode MS" w:hAnsi="Arial" w:cs="Arial"/>
          <w:b/>
          <w:i/>
          <w:color w:val="000000" w:themeColor="text1"/>
          <w:sz w:val="20"/>
          <w:szCs w:val="22"/>
          <w:lang w:eastAsia="ar-SA"/>
        </w:rPr>
      </w:pPr>
      <w:r w:rsidRPr="001F7D1D">
        <w:rPr>
          <w:rFonts w:ascii="Arial" w:hAnsi="Arial" w:cs="Arial"/>
          <w:sz w:val="22"/>
          <w:szCs w:val="22"/>
          <w:lang w:val="es-CO" w:eastAsia="es-CO"/>
        </w:rPr>
        <w:t xml:space="preserve"> </w:t>
      </w:r>
      <w:r w:rsidR="008C2C92" w:rsidRPr="001F7D1D">
        <w:rPr>
          <w:rFonts w:ascii="Arial" w:hAnsi="Arial" w:cs="Arial"/>
          <w:sz w:val="22"/>
          <w:szCs w:val="22"/>
          <w:lang w:val="es-CO" w:eastAsia="es-CO"/>
        </w:rPr>
        <w:t>“</w:t>
      </w:r>
      <w:r w:rsidR="008C2C92" w:rsidRPr="00434FF0">
        <w:rPr>
          <w:rFonts w:ascii="Arial" w:eastAsia="Arial Unicode MS" w:hAnsi="Arial" w:cs="Arial"/>
          <w:b/>
          <w:i/>
          <w:color w:val="000000" w:themeColor="text1"/>
          <w:sz w:val="20"/>
          <w:szCs w:val="22"/>
          <w:lang w:eastAsia="ar-SA"/>
        </w:rPr>
        <w:t>2.2 DOCUMENTOS DE CONTENIDO FINANCIERO</w:t>
      </w:r>
    </w:p>
    <w:p w14:paraId="1183C13F" w14:textId="77777777" w:rsidR="008C2C92" w:rsidRPr="00434FF0" w:rsidRDefault="008C2C92" w:rsidP="008C2C92">
      <w:pPr>
        <w:widowControl w:val="0"/>
        <w:suppressAutoHyphens/>
        <w:ind w:left="851" w:right="902"/>
        <w:rPr>
          <w:rFonts w:ascii="Arial" w:eastAsia="Arial Unicode MS" w:hAnsi="Arial" w:cs="Arial"/>
          <w:i/>
          <w:color w:val="000000" w:themeColor="text1"/>
          <w:sz w:val="20"/>
          <w:szCs w:val="22"/>
          <w:lang w:eastAsia="ar-SA"/>
        </w:rPr>
      </w:pPr>
    </w:p>
    <w:p w14:paraId="06994FC1" w14:textId="77777777" w:rsidR="008C2C92" w:rsidRPr="00434FF0" w:rsidRDefault="008C2C92" w:rsidP="008C2C92">
      <w:pPr>
        <w:widowControl w:val="0"/>
        <w:suppressAutoHyphens/>
        <w:spacing w:line="276" w:lineRule="auto"/>
        <w:ind w:left="851" w:right="902"/>
        <w:rPr>
          <w:rFonts w:ascii="Arial" w:hAnsi="Arial" w:cs="Arial"/>
          <w:b/>
          <w:i/>
          <w:sz w:val="20"/>
          <w:szCs w:val="22"/>
        </w:rPr>
      </w:pPr>
      <w:r w:rsidRPr="00434FF0">
        <w:rPr>
          <w:rFonts w:ascii="Arial" w:hAnsi="Arial" w:cs="Arial"/>
          <w:b/>
          <w:i/>
          <w:sz w:val="20"/>
          <w:szCs w:val="22"/>
        </w:rPr>
        <w:t xml:space="preserve">A. PERSONAS NATURALES Y/O JURIDICAS QUE NO SE ENCUENTREN REGISTRADOS EN EL (RUP) </w:t>
      </w:r>
    </w:p>
    <w:p w14:paraId="429545A0" w14:textId="77777777" w:rsidR="008C2C92" w:rsidRPr="00434FF0" w:rsidRDefault="008C2C92" w:rsidP="008C2C92">
      <w:pPr>
        <w:widowControl w:val="0"/>
        <w:suppressAutoHyphens/>
        <w:spacing w:line="276" w:lineRule="auto"/>
        <w:ind w:left="851" w:right="902"/>
        <w:rPr>
          <w:rFonts w:ascii="Arial" w:hAnsi="Arial" w:cs="Arial"/>
          <w:b/>
          <w:i/>
          <w:sz w:val="20"/>
          <w:szCs w:val="22"/>
        </w:rPr>
      </w:pPr>
    </w:p>
    <w:p w14:paraId="739CF2E6" w14:textId="5078A8FE" w:rsidR="008C2C92" w:rsidRPr="001F7D1D" w:rsidRDefault="008C2C92" w:rsidP="00431EDF">
      <w:pPr>
        <w:widowControl w:val="0"/>
        <w:suppressAutoHyphens/>
        <w:spacing w:after="120" w:line="276" w:lineRule="auto"/>
        <w:ind w:left="851" w:right="902"/>
        <w:jc w:val="both"/>
        <w:rPr>
          <w:rFonts w:ascii="Arial" w:hAnsi="Arial" w:cs="Arial"/>
          <w:i/>
          <w:sz w:val="22"/>
          <w:szCs w:val="22"/>
        </w:rPr>
      </w:pPr>
      <w:r w:rsidRPr="00434FF0">
        <w:rPr>
          <w:rFonts w:ascii="Arial" w:hAnsi="Arial" w:cs="Arial"/>
          <w:i/>
          <w:sz w:val="20"/>
          <w:szCs w:val="22"/>
        </w:rPr>
        <w:t xml:space="preserve">Con el fin de verificar la capacidad financiera de los OFERENTES, deberán presentar los documentos relacionados a continuación, </w:t>
      </w:r>
      <w:r w:rsidRPr="00434FF0">
        <w:rPr>
          <w:rFonts w:ascii="Arial" w:hAnsi="Arial" w:cs="Arial"/>
          <w:b/>
          <w:i/>
          <w:sz w:val="20"/>
          <w:szCs w:val="22"/>
          <w:u w:val="single"/>
        </w:rPr>
        <w:t>con corte no ante</w:t>
      </w:r>
      <w:r w:rsidRPr="00434FF0">
        <w:rPr>
          <w:rFonts w:ascii="Arial" w:hAnsi="Arial" w:cs="Arial"/>
          <w:b/>
          <w:i/>
          <w:sz w:val="20"/>
          <w:szCs w:val="22"/>
          <w:u w:val="single"/>
        </w:rPr>
        <w:t>rior al 31 de diciembre de 2021</w:t>
      </w:r>
      <w:r w:rsidRPr="00434FF0">
        <w:rPr>
          <w:rFonts w:ascii="Arial" w:hAnsi="Arial" w:cs="Arial"/>
          <w:i/>
          <w:sz w:val="20"/>
          <w:szCs w:val="22"/>
        </w:rPr>
        <w:t>.”</w:t>
      </w:r>
      <w:r w:rsidR="00431EDF" w:rsidRPr="00434FF0">
        <w:rPr>
          <w:rFonts w:ascii="Arial" w:hAnsi="Arial" w:cs="Arial"/>
          <w:i/>
          <w:sz w:val="20"/>
          <w:szCs w:val="22"/>
        </w:rPr>
        <w:t xml:space="preserve"> (</w:t>
      </w:r>
      <w:r w:rsidRPr="00434FF0">
        <w:rPr>
          <w:rFonts w:ascii="Arial" w:hAnsi="Arial" w:cs="Arial"/>
          <w:i/>
          <w:sz w:val="20"/>
          <w:szCs w:val="22"/>
        </w:rPr>
        <w:t>negrilla y subrayado fuera de texto</w:t>
      </w:r>
      <w:r w:rsidRPr="001F7D1D">
        <w:rPr>
          <w:rFonts w:ascii="Arial" w:hAnsi="Arial" w:cs="Arial"/>
          <w:i/>
          <w:sz w:val="22"/>
          <w:szCs w:val="22"/>
        </w:rPr>
        <w:t>)</w:t>
      </w:r>
      <w:r w:rsidR="00431EDF" w:rsidRPr="001F7D1D">
        <w:rPr>
          <w:rFonts w:ascii="Arial" w:hAnsi="Arial" w:cs="Arial"/>
          <w:i/>
          <w:sz w:val="22"/>
          <w:szCs w:val="22"/>
        </w:rPr>
        <w:t>.</w:t>
      </w:r>
    </w:p>
    <w:p w14:paraId="6514F237" w14:textId="54171423" w:rsidR="00966269" w:rsidRPr="001F7D1D" w:rsidRDefault="00966269" w:rsidP="00A551B1">
      <w:pPr>
        <w:spacing w:after="120"/>
        <w:jc w:val="both"/>
        <w:rPr>
          <w:rFonts w:ascii="Arial" w:hAnsi="Arial" w:cs="Arial"/>
          <w:sz w:val="22"/>
          <w:szCs w:val="22"/>
          <w:lang w:val="es-CO" w:eastAsia="es-CO"/>
        </w:rPr>
      </w:pPr>
    </w:p>
    <w:p w14:paraId="146C5776" w14:textId="742AE46F" w:rsidR="00C66DA0" w:rsidRPr="001F7D1D" w:rsidRDefault="00C66DA0" w:rsidP="00434FF0">
      <w:pPr>
        <w:jc w:val="both"/>
        <w:rPr>
          <w:rFonts w:ascii="Arial" w:hAnsi="Arial" w:cs="Arial"/>
          <w:sz w:val="22"/>
          <w:szCs w:val="22"/>
          <w:lang w:val="es-CO" w:eastAsia="es-CO"/>
        </w:rPr>
      </w:pPr>
      <w:r w:rsidRPr="001F7D1D">
        <w:rPr>
          <w:rFonts w:ascii="Arial" w:hAnsi="Arial" w:cs="Arial"/>
          <w:sz w:val="22"/>
          <w:szCs w:val="22"/>
          <w:lang w:val="es-CO" w:eastAsia="es-CO"/>
        </w:rPr>
        <w:t>Esper</w:t>
      </w:r>
      <w:r w:rsidR="00540BC6" w:rsidRPr="001F7D1D">
        <w:rPr>
          <w:rFonts w:ascii="Arial" w:hAnsi="Arial" w:cs="Arial"/>
          <w:sz w:val="22"/>
          <w:szCs w:val="22"/>
          <w:lang w:val="es-CO" w:eastAsia="es-CO"/>
        </w:rPr>
        <w:t>o</w:t>
      </w:r>
      <w:r w:rsidRPr="001F7D1D">
        <w:rPr>
          <w:rFonts w:ascii="Arial" w:hAnsi="Arial" w:cs="Arial"/>
          <w:sz w:val="22"/>
          <w:szCs w:val="22"/>
          <w:lang w:val="es-CO" w:eastAsia="es-CO"/>
        </w:rPr>
        <w:t xml:space="preserve"> de esta forma dar respuesta a su inquietud</w:t>
      </w:r>
      <w:r w:rsidR="00434FF0">
        <w:rPr>
          <w:rFonts w:ascii="Arial" w:hAnsi="Arial" w:cs="Arial"/>
          <w:sz w:val="22"/>
          <w:szCs w:val="22"/>
          <w:lang w:val="es-CO" w:eastAsia="es-CO"/>
        </w:rPr>
        <w:t>.</w:t>
      </w:r>
    </w:p>
    <w:p w14:paraId="76C8473C" w14:textId="77777777" w:rsidR="001F7D1D" w:rsidRDefault="001F7D1D" w:rsidP="00434FF0">
      <w:pPr>
        <w:jc w:val="both"/>
        <w:rPr>
          <w:rFonts w:ascii="Arial" w:hAnsi="Arial" w:cs="Arial"/>
          <w:sz w:val="22"/>
          <w:szCs w:val="22"/>
          <w:lang w:val="es-CO" w:eastAsia="es-CO"/>
        </w:rPr>
      </w:pPr>
    </w:p>
    <w:p w14:paraId="69944CCF" w14:textId="0D1EEF20" w:rsidR="00A72357" w:rsidRPr="001F7D1D" w:rsidRDefault="00A72357" w:rsidP="00434FF0">
      <w:pPr>
        <w:jc w:val="both"/>
        <w:rPr>
          <w:rFonts w:ascii="Arial" w:hAnsi="Arial" w:cs="Arial"/>
          <w:sz w:val="22"/>
          <w:szCs w:val="22"/>
          <w:lang w:val="es-CO" w:eastAsia="es-CO"/>
        </w:rPr>
      </w:pPr>
      <w:r w:rsidRPr="001F7D1D">
        <w:rPr>
          <w:rFonts w:ascii="Arial" w:hAnsi="Arial" w:cs="Arial"/>
          <w:sz w:val="22"/>
          <w:szCs w:val="22"/>
          <w:lang w:val="es-CO" w:eastAsia="es-CO"/>
        </w:rPr>
        <w:t xml:space="preserve">Sin otro particular, </w:t>
      </w:r>
    </w:p>
    <w:p w14:paraId="00E7C39E" w14:textId="77777777" w:rsidR="00A22F72" w:rsidRDefault="00A22F72" w:rsidP="00434FF0">
      <w:pPr>
        <w:jc w:val="both"/>
        <w:rPr>
          <w:rFonts w:ascii="Arial" w:hAnsi="Arial" w:cs="Arial"/>
          <w:sz w:val="22"/>
          <w:szCs w:val="22"/>
          <w:lang w:val="es-CO" w:eastAsia="es-CO"/>
        </w:rPr>
      </w:pPr>
    </w:p>
    <w:p w14:paraId="39D20620" w14:textId="1DE54DD6" w:rsidR="00A72357" w:rsidRPr="001F7D1D" w:rsidRDefault="00C66DA0" w:rsidP="00434FF0">
      <w:pPr>
        <w:jc w:val="both"/>
        <w:rPr>
          <w:rFonts w:ascii="Arial" w:hAnsi="Arial" w:cs="Arial"/>
          <w:sz w:val="22"/>
          <w:szCs w:val="22"/>
          <w:lang w:val="es-CO" w:eastAsia="es-CO"/>
        </w:rPr>
      </w:pPr>
      <w:r w:rsidRPr="001F7D1D">
        <w:rPr>
          <w:rFonts w:ascii="Arial" w:hAnsi="Arial" w:cs="Arial"/>
          <w:sz w:val="22"/>
          <w:szCs w:val="22"/>
          <w:lang w:val="es-CO" w:eastAsia="es-CO"/>
        </w:rPr>
        <w:t>c</w:t>
      </w:r>
      <w:r w:rsidR="00A72357" w:rsidRPr="001F7D1D">
        <w:rPr>
          <w:rFonts w:ascii="Arial" w:hAnsi="Arial" w:cs="Arial"/>
          <w:sz w:val="22"/>
          <w:szCs w:val="22"/>
          <w:lang w:val="es-CO" w:eastAsia="es-CO"/>
        </w:rPr>
        <w:t xml:space="preserve">ordialmente </w:t>
      </w:r>
    </w:p>
    <w:p w14:paraId="0B0C9608" w14:textId="7CE45817" w:rsidR="00A72357" w:rsidRPr="001F7D1D" w:rsidRDefault="00A72357" w:rsidP="00434FF0">
      <w:pPr>
        <w:jc w:val="center"/>
        <w:rPr>
          <w:rFonts w:ascii="Arial" w:hAnsi="Arial" w:cs="Arial"/>
          <w:sz w:val="22"/>
          <w:szCs w:val="22"/>
          <w:lang w:val="es-CO" w:eastAsia="es-CO"/>
        </w:rPr>
      </w:pPr>
    </w:p>
    <w:p w14:paraId="5F146A7B" w14:textId="1723B719" w:rsidR="00A72357" w:rsidRPr="001F7D1D" w:rsidRDefault="00A22F72" w:rsidP="00434FF0">
      <w:pPr>
        <w:rPr>
          <w:rFonts w:ascii="Arial" w:hAnsi="Arial" w:cs="Arial"/>
          <w:sz w:val="22"/>
          <w:szCs w:val="22"/>
          <w:lang w:val="es-CO" w:eastAsia="es-CO"/>
        </w:rPr>
      </w:pPr>
      <w:r>
        <w:rPr>
          <w:rFonts w:ascii="Arial" w:hAnsi="Arial" w:cs="Arial"/>
          <w:sz w:val="22"/>
          <w:szCs w:val="22"/>
          <w:lang w:val="es-CO" w:eastAsia="es-CO"/>
        </w:rPr>
        <w:t>(Original Firmado</w:t>
      </w:r>
      <w:bookmarkStart w:id="0" w:name="_GoBack"/>
      <w:bookmarkEnd w:id="0"/>
      <w:r>
        <w:rPr>
          <w:rFonts w:ascii="Arial" w:hAnsi="Arial" w:cs="Arial"/>
          <w:sz w:val="22"/>
          <w:szCs w:val="22"/>
          <w:lang w:val="es-CO" w:eastAsia="es-CO"/>
        </w:rPr>
        <w:t>)</w:t>
      </w:r>
    </w:p>
    <w:p w14:paraId="6CF82000" w14:textId="59277384" w:rsidR="00A72357" w:rsidRPr="001F7D1D" w:rsidRDefault="00A72357" w:rsidP="00434FF0">
      <w:pPr>
        <w:rPr>
          <w:rFonts w:ascii="Arial" w:hAnsi="Arial" w:cs="Arial"/>
          <w:b/>
          <w:bCs/>
          <w:sz w:val="22"/>
          <w:szCs w:val="22"/>
          <w:lang w:val="es-CO" w:eastAsia="es-CO"/>
        </w:rPr>
      </w:pPr>
      <w:r w:rsidRPr="001F7D1D">
        <w:rPr>
          <w:rFonts w:ascii="Arial" w:hAnsi="Arial" w:cs="Arial"/>
          <w:b/>
          <w:bCs/>
          <w:sz w:val="22"/>
          <w:szCs w:val="22"/>
          <w:lang w:val="es-CO" w:eastAsia="es-CO"/>
        </w:rPr>
        <w:t>SANDRA MILENA CUBILLOS GONZÁLEZ</w:t>
      </w:r>
    </w:p>
    <w:p w14:paraId="60DA5986" w14:textId="4EBA2FE7" w:rsidR="00A72357" w:rsidRPr="001F7D1D" w:rsidRDefault="00A72357" w:rsidP="00434FF0">
      <w:pPr>
        <w:rPr>
          <w:rFonts w:ascii="Arial" w:hAnsi="Arial" w:cs="Arial"/>
          <w:sz w:val="22"/>
          <w:szCs w:val="22"/>
          <w:lang w:val="es-CO" w:eastAsia="es-CO"/>
        </w:rPr>
      </w:pPr>
      <w:r w:rsidRPr="001F7D1D">
        <w:rPr>
          <w:rFonts w:ascii="Arial" w:hAnsi="Arial" w:cs="Arial"/>
          <w:sz w:val="22"/>
          <w:szCs w:val="22"/>
          <w:lang w:val="es-CO" w:eastAsia="es-CO"/>
        </w:rPr>
        <w:t>Jefe de la Oficina Asesora de Jurídica y Contratación</w:t>
      </w:r>
    </w:p>
    <w:sectPr w:rsidR="00A72357" w:rsidRPr="001F7D1D" w:rsidSect="0037358B">
      <w:headerReference w:type="default" r:id="rId8"/>
      <w:footerReference w:type="default" r:id="rId9"/>
      <w:pgSz w:w="12242" w:h="15842" w:code="1"/>
      <w:pgMar w:top="2268" w:right="1134" w:bottom="1701" w:left="1701"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06CD" w14:textId="77777777" w:rsidR="0026389E" w:rsidRDefault="0026389E">
      <w:r>
        <w:separator/>
      </w:r>
    </w:p>
  </w:endnote>
  <w:endnote w:type="continuationSeparator" w:id="0">
    <w:p w14:paraId="2B8254A1" w14:textId="77777777" w:rsidR="0026389E" w:rsidRDefault="0026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7131A" w14:textId="5DB7C790" w:rsidR="003A172A" w:rsidRPr="003A172A" w:rsidRDefault="001E0D0D" w:rsidP="003A172A">
    <w:pPr>
      <w:pStyle w:val="Piedepgina"/>
      <w:tabs>
        <w:tab w:val="clear" w:pos="4252"/>
        <w:tab w:val="clear" w:pos="8504"/>
        <w:tab w:val="left" w:pos="6996"/>
      </w:tabs>
      <w:jc w:val="right"/>
      <w:rPr>
        <w:rFonts w:ascii="Arial" w:hAnsi="Arial" w:cs="Arial"/>
        <w:color w:val="404040"/>
        <w:kern w:val="24"/>
        <w:sz w:val="16"/>
        <w:szCs w:val="16"/>
      </w:rPr>
    </w:pPr>
    <w:r>
      <w:rPr>
        <w:noProof/>
        <w:lang w:val="es-CO" w:eastAsia="es-CO"/>
      </w:rPr>
      <w:drawing>
        <wp:anchor distT="0" distB="0" distL="114300" distR="114300" simplePos="0" relativeHeight="251658240" behindDoc="1" locked="0" layoutInCell="1" allowOverlap="1" wp14:anchorId="49745F97" wp14:editId="406EDB79">
          <wp:simplePos x="0" y="0"/>
          <wp:positionH relativeFrom="page">
            <wp:posOffset>-301214</wp:posOffset>
          </wp:positionH>
          <wp:positionV relativeFrom="bottomMargin">
            <wp:align>top</wp:align>
          </wp:positionV>
          <wp:extent cx="8073836" cy="1043119"/>
          <wp:effectExtent l="0" t="0" r="3810" b="5080"/>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3836" cy="1043119"/>
                  </a:xfrm>
                  <a:prstGeom prst="rect">
                    <a:avLst/>
                  </a:prstGeom>
                  <a:noFill/>
                  <a:ln>
                    <a:noFill/>
                  </a:ln>
                </pic:spPr>
              </pic:pic>
            </a:graphicData>
          </a:graphic>
          <wp14:sizeRelH relativeFrom="page">
            <wp14:pctWidth>0</wp14:pctWidth>
          </wp14:sizeRelH>
          <wp14:sizeRelV relativeFrom="page">
            <wp14:pctHeight>0</wp14:pctHeight>
          </wp14:sizeRelV>
        </wp:anchor>
      </w:drawing>
    </w:r>
    <w:r w:rsidR="003A172A" w:rsidRPr="003A172A">
      <w:rPr>
        <w:rStyle w:val="Hipervnculo"/>
        <w:rFonts w:ascii="Arial" w:hAnsi="Arial" w:cs="Arial"/>
        <w:color w:val="404040"/>
        <w:kern w:val="24"/>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EC3DA" w14:textId="77777777" w:rsidR="0026389E" w:rsidRDefault="0026389E">
      <w:r>
        <w:separator/>
      </w:r>
    </w:p>
  </w:footnote>
  <w:footnote w:type="continuationSeparator" w:id="0">
    <w:p w14:paraId="0E4BDB49" w14:textId="77777777" w:rsidR="0026389E" w:rsidRDefault="002638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4475" w14:textId="77777777" w:rsidR="00554902" w:rsidRDefault="00554902" w:rsidP="003A172A">
    <w:pPr>
      <w:pStyle w:val="Encabezado"/>
    </w:pPr>
  </w:p>
  <w:p w14:paraId="605BFA69" w14:textId="77777777" w:rsidR="00554902" w:rsidRDefault="00554902" w:rsidP="003A172A">
    <w:pPr>
      <w:pStyle w:val="Encabezado"/>
    </w:pPr>
  </w:p>
  <w:p w14:paraId="49C69159" w14:textId="77777777" w:rsidR="00554902" w:rsidRDefault="00554902" w:rsidP="003A172A">
    <w:pPr>
      <w:pStyle w:val="Encabezado"/>
    </w:pPr>
  </w:p>
  <w:p w14:paraId="09922AD8" w14:textId="77777777" w:rsidR="00554902" w:rsidRDefault="00554902" w:rsidP="003A172A">
    <w:pPr>
      <w:pStyle w:val="Encabezado"/>
    </w:pPr>
  </w:p>
  <w:p w14:paraId="6E4B578A" w14:textId="77777777" w:rsidR="00554902" w:rsidRDefault="00554902" w:rsidP="003A172A">
    <w:pPr>
      <w:pStyle w:val="Encabezado"/>
    </w:pPr>
  </w:p>
  <w:p w14:paraId="1664273D" w14:textId="7ABB47BB" w:rsidR="00554902" w:rsidRDefault="00554902" w:rsidP="003A172A">
    <w:pPr>
      <w:pStyle w:val="Encabezado"/>
    </w:pPr>
  </w:p>
  <w:p w14:paraId="7DBBD21B" w14:textId="77777777" w:rsidR="001E0D0D" w:rsidRDefault="001E0D0D" w:rsidP="003A172A">
    <w:pPr>
      <w:pStyle w:val="Encabezado"/>
    </w:pPr>
  </w:p>
  <w:p w14:paraId="1BCD16F8" w14:textId="116EAB8C" w:rsidR="003C0658" w:rsidRPr="003A172A" w:rsidRDefault="00554902" w:rsidP="003A172A">
    <w:pPr>
      <w:pStyle w:val="Encabezado"/>
    </w:pPr>
    <w:r>
      <w:rPr>
        <w:noProof/>
        <w:lang w:val="es-CO" w:eastAsia="es-CO"/>
      </w:rPr>
      <w:drawing>
        <wp:anchor distT="0" distB="0" distL="114300" distR="114300" simplePos="0" relativeHeight="251657216" behindDoc="1" locked="0" layoutInCell="1" allowOverlap="1" wp14:anchorId="1083FB9A" wp14:editId="6B5C7479">
          <wp:simplePos x="0" y="0"/>
          <wp:positionH relativeFrom="margin">
            <wp:posOffset>-607169</wp:posOffset>
          </wp:positionH>
          <wp:positionV relativeFrom="topMargin">
            <wp:posOffset>199696</wp:posOffset>
          </wp:positionV>
          <wp:extent cx="1950720" cy="1397875"/>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008" cy="14002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03400"/>
    <w:multiLevelType w:val="hybridMultilevel"/>
    <w:tmpl w:val="4126D89A"/>
    <w:lvl w:ilvl="0" w:tplc="07EA0B0C">
      <w:numFmt w:val="bullet"/>
      <w:lvlText w:val="-"/>
      <w:lvlJc w:val="left"/>
      <w:pPr>
        <w:ind w:left="420" w:hanging="360"/>
      </w:pPr>
      <w:rPr>
        <w:rFonts w:ascii="Times New Roman" w:eastAsia="Times New Roman" w:hAnsi="Times New Roman" w:cs="Times New 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 w15:restartNumberingAfterBreak="0">
    <w:nsid w:val="29457B6D"/>
    <w:multiLevelType w:val="hybridMultilevel"/>
    <w:tmpl w:val="65C223B0"/>
    <w:lvl w:ilvl="0" w:tplc="022ED7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36312DF"/>
    <w:multiLevelType w:val="hybridMultilevel"/>
    <w:tmpl w:val="6ABE687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52614A6"/>
    <w:multiLevelType w:val="hybridMultilevel"/>
    <w:tmpl w:val="E7DEC2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B1C2927"/>
    <w:multiLevelType w:val="hybridMultilevel"/>
    <w:tmpl w:val="B9B2685C"/>
    <w:lvl w:ilvl="0" w:tplc="B8B8EC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B6"/>
    <w:rsid w:val="00000B7D"/>
    <w:rsid w:val="00002E1B"/>
    <w:rsid w:val="00004015"/>
    <w:rsid w:val="00005AE3"/>
    <w:rsid w:val="00011B52"/>
    <w:rsid w:val="0001713E"/>
    <w:rsid w:val="00022203"/>
    <w:rsid w:val="000223FE"/>
    <w:rsid w:val="00024B6A"/>
    <w:rsid w:val="00025367"/>
    <w:rsid w:val="00052F02"/>
    <w:rsid w:val="000543E5"/>
    <w:rsid w:val="00055B38"/>
    <w:rsid w:val="000641CF"/>
    <w:rsid w:val="000642EE"/>
    <w:rsid w:val="00067275"/>
    <w:rsid w:val="00067D20"/>
    <w:rsid w:val="00067F98"/>
    <w:rsid w:val="00086066"/>
    <w:rsid w:val="00091E1D"/>
    <w:rsid w:val="0009547F"/>
    <w:rsid w:val="0009694C"/>
    <w:rsid w:val="000A1C37"/>
    <w:rsid w:val="000B7311"/>
    <w:rsid w:val="000C0DB7"/>
    <w:rsid w:val="000C31E2"/>
    <w:rsid w:val="000C57A6"/>
    <w:rsid w:val="000C7C3D"/>
    <w:rsid w:val="000D1825"/>
    <w:rsid w:val="000D7227"/>
    <w:rsid w:val="000E0A71"/>
    <w:rsid w:val="000F2EEC"/>
    <w:rsid w:val="000F5542"/>
    <w:rsid w:val="0010167B"/>
    <w:rsid w:val="001107A7"/>
    <w:rsid w:val="00110CCD"/>
    <w:rsid w:val="00115721"/>
    <w:rsid w:val="001163BA"/>
    <w:rsid w:val="0011719F"/>
    <w:rsid w:val="001201A3"/>
    <w:rsid w:val="00126D37"/>
    <w:rsid w:val="00127F1E"/>
    <w:rsid w:val="00135677"/>
    <w:rsid w:val="001500F9"/>
    <w:rsid w:val="001559A9"/>
    <w:rsid w:val="0016034D"/>
    <w:rsid w:val="00166B56"/>
    <w:rsid w:val="001A3305"/>
    <w:rsid w:val="001B4376"/>
    <w:rsid w:val="001B5F42"/>
    <w:rsid w:val="001C00A9"/>
    <w:rsid w:val="001C4972"/>
    <w:rsid w:val="001C6261"/>
    <w:rsid w:val="001D28E3"/>
    <w:rsid w:val="001D6AA9"/>
    <w:rsid w:val="001E0D0D"/>
    <w:rsid w:val="001E20E2"/>
    <w:rsid w:val="001F7D1D"/>
    <w:rsid w:val="00200159"/>
    <w:rsid w:val="0020023B"/>
    <w:rsid w:val="00212963"/>
    <w:rsid w:val="0022789C"/>
    <w:rsid w:val="00230A04"/>
    <w:rsid w:val="002314B1"/>
    <w:rsid w:val="00241932"/>
    <w:rsid w:val="002421DA"/>
    <w:rsid w:val="00255370"/>
    <w:rsid w:val="0026271A"/>
    <w:rsid w:val="0026389E"/>
    <w:rsid w:val="0027712B"/>
    <w:rsid w:val="00283A88"/>
    <w:rsid w:val="002963DA"/>
    <w:rsid w:val="00296F09"/>
    <w:rsid w:val="002973CF"/>
    <w:rsid w:val="00297780"/>
    <w:rsid w:val="002A1B22"/>
    <w:rsid w:val="002A2329"/>
    <w:rsid w:val="002A6350"/>
    <w:rsid w:val="002B04F1"/>
    <w:rsid w:val="002B09DF"/>
    <w:rsid w:val="002D5579"/>
    <w:rsid w:val="002D612E"/>
    <w:rsid w:val="002E1141"/>
    <w:rsid w:val="002E180F"/>
    <w:rsid w:val="002E3BE1"/>
    <w:rsid w:val="002E5F9F"/>
    <w:rsid w:val="002E6687"/>
    <w:rsid w:val="003012AD"/>
    <w:rsid w:val="00306134"/>
    <w:rsid w:val="0031027A"/>
    <w:rsid w:val="00313B19"/>
    <w:rsid w:val="00317BF3"/>
    <w:rsid w:val="00317D41"/>
    <w:rsid w:val="00322563"/>
    <w:rsid w:val="00332903"/>
    <w:rsid w:val="0034721F"/>
    <w:rsid w:val="0035215B"/>
    <w:rsid w:val="003570C9"/>
    <w:rsid w:val="003625E9"/>
    <w:rsid w:val="0037358B"/>
    <w:rsid w:val="00373AAC"/>
    <w:rsid w:val="0038220F"/>
    <w:rsid w:val="00384241"/>
    <w:rsid w:val="0038696D"/>
    <w:rsid w:val="003869D0"/>
    <w:rsid w:val="00387971"/>
    <w:rsid w:val="00392F1A"/>
    <w:rsid w:val="003937EA"/>
    <w:rsid w:val="003A172A"/>
    <w:rsid w:val="003A47A7"/>
    <w:rsid w:val="003B0816"/>
    <w:rsid w:val="003C0658"/>
    <w:rsid w:val="003C6094"/>
    <w:rsid w:val="003D00B6"/>
    <w:rsid w:val="003D40AB"/>
    <w:rsid w:val="003F0A12"/>
    <w:rsid w:val="003F5046"/>
    <w:rsid w:val="00412CA5"/>
    <w:rsid w:val="00423131"/>
    <w:rsid w:val="00430E19"/>
    <w:rsid w:val="00431EDF"/>
    <w:rsid w:val="00433CB2"/>
    <w:rsid w:val="004349F9"/>
    <w:rsid w:val="00434BD1"/>
    <w:rsid w:val="00434FF0"/>
    <w:rsid w:val="00442F57"/>
    <w:rsid w:val="00444AE2"/>
    <w:rsid w:val="00457956"/>
    <w:rsid w:val="00460C0E"/>
    <w:rsid w:val="004614F7"/>
    <w:rsid w:val="00466543"/>
    <w:rsid w:val="0047135A"/>
    <w:rsid w:val="004735AA"/>
    <w:rsid w:val="00476B03"/>
    <w:rsid w:val="00482D1E"/>
    <w:rsid w:val="00483BB6"/>
    <w:rsid w:val="004869CE"/>
    <w:rsid w:val="00491636"/>
    <w:rsid w:val="004935BB"/>
    <w:rsid w:val="00493D79"/>
    <w:rsid w:val="004974B8"/>
    <w:rsid w:val="004B02DA"/>
    <w:rsid w:val="004B519C"/>
    <w:rsid w:val="004C1FB5"/>
    <w:rsid w:val="004C446D"/>
    <w:rsid w:val="004D0360"/>
    <w:rsid w:val="004D44A2"/>
    <w:rsid w:val="004D46B1"/>
    <w:rsid w:val="004E0D20"/>
    <w:rsid w:val="004E52D8"/>
    <w:rsid w:val="004E758D"/>
    <w:rsid w:val="004F7B29"/>
    <w:rsid w:val="0051607B"/>
    <w:rsid w:val="0051719A"/>
    <w:rsid w:val="00517AE0"/>
    <w:rsid w:val="0053051E"/>
    <w:rsid w:val="00532893"/>
    <w:rsid w:val="00536265"/>
    <w:rsid w:val="005401E5"/>
    <w:rsid w:val="00540BC6"/>
    <w:rsid w:val="00550A37"/>
    <w:rsid w:val="00554902"/>
    <w:rsid w:val="00555C44"/>
    <w:rsid w:val="00561675"/>
    <w:rsid w:val="00571F38"/>
    <w:rsid w:val="0057544E"/>
    <w:rsid w:val="0057769E"/>
    <w:rsid w:val="00577A02"/>
    <w:rsid w:val="005841C2"/>
    <w:rsid w:val="005B486D"/>
    <w:rsid w:val="005B52AC"/>
    <w:rsid w:val="005B71E8"/>
    <w:rsid w:val="005B7B1C"/>
    <w:rsid w:val="005C4F5E"/>
    <w:rsid w:val="005D77C3"/>
    <w:rsid w:val="005E0D5F"/>
    <w:rsid w:val="005E3777"/>
    <w:rsid w:val="005E4DE2"/>
    <w:rsid w:val="005E713D"/>
    <w:rsid w:val="005E7FAA"/>
    <w:rsid w:val="005F0038"/>
    <w:rsid w:val="005F4A6E"/>
    <w:rsid w:val="005F6F7E"/>
    <w:rsid w:val="005F743B"/>
    <w:rsid w:val="00600814"/>
    <w:rsid w:val="0060140C"/>
    <w:rsid w:val="006116CF"/>
    <w:rsid w:val="00612CA9"/>
    <w:rsid w:val="00620B99"/>
    <w:rsid w:val="00626D4E"/>
    <w:rsid w:val="00636C18"/>
    <w:rsid w:val="00640780"/>
    <w:rsid w:val="00642BFE"/>
    <w:rsid w:val="00643FC9"/>
    <w:rsid w:val="006631AC"/>
    <w:rsid w:val="00670D37"/>
    <w:rsid w:val="00671081"/>
    <w:rsid w:val="00672EC1"/>
    <w:rsid w:val="0068266D"/>
    <w:rsid w:val="006829AA"/>
    <w:rsid w:val="006845F9"/>
    <w:rsid w:val="00684BA5"/>
    <w:rsid w:val="00692AE7"/>
    <w:rsid w:val="0069319A"/>
    <w:rsid w:val="006A111D"/>
    <w:rsid w:val="006A2936"/>
    <w:rsid w:val="006A6B90"/>
    <w:rsid w:val="006B09E0"/>
    <w:rsid w:val="006B7701"/>
    <w:rsid w:val="006C2934"/>
    <w:rsid w:val="006C4206"/>
    <w:rsid w:val="006C4B89"/>
    <w:rsid w:val="006C71EA"/>
    <w:rsid w:val="006C7F4A"/>
    <w:rsid w:val="006D7023"/>
    <w:rsid w:val="006E1335"/>
    <w:rsid w:val="006F1A73"/>
    <w:rsid w:val="00700F85"/>
    <w:rsid w:val="00711AA7"/>
    <w:rsid w:val="00716944"/>
    <w:rsid w:val="007213AC"/>
    <w:rsid w:val="007238D6"/>
    <w:rsid w:val="00736E48"/>
    <w:rsid w:val="00741760"/>
    <w:rsid w:val="00755CD5"/>
    <w:rsid w:val="00757D71"/>
    <w:rsid w:val="0076074A"/>
    <w:rsid w:val="007756DD"/>
    <w:rsid w:val="0077740D"/>
    <w:rsid w:val="00777BF1"/>
    <w:rsid w:val="00780AA8"/>
    <w:rsid w:val="007813DC"/>
    <w:rsid w:val="00786840"/>
    <w:rsid w:val="00790FCD"/>
    <w:rsid w:val="0079111E"/>
    <w:rsid w:val="00794287"/>
    <w:rsid w:val="007A317E"/>
    <w:rsid w:val="007A481C"/>
    <w:rsid w:val="007D0814"/>
    <w:rsid w:val="007E56CF"/>
    <w:rsid w:val="007F3569"/>
    <w:rsid w:val="007F3D9F"/>
    <w:rsid w:val="00805852"/>
    <w:rsid w:val="008115DF"/>
    <w:rsid w:val="00812E7B"/>
    <w:rsid w:val="008141C1"/>
    <w:rsid w:val="00822B41"/>
    <w:rsid w:val="00825A31"/>
    <w:rsid w:val="00830CCB"/>
    <w:rsid w:val="008404DA"/>
    <w:rsid w:val="0084117A"/>
    <w:rsid w:val="00842FC4"/>
    <w:rsid w:val="00850A5C"/>
    <w:rsid w:val="00856807"/>
    <w:rsid w:val="00856C09"/>
    <w:rsid w:val="00866AB6"/>
    <w:rsid w:val="008671A6"/>
    <w:rsid w:val="00867B0E"/>
    <w:rsid w:val="00871801"/>
    <w:rsid w:val="00871C30"/>
    <w:rsid w:val="0089400F"/>
    <w:rsid w:val="00895218"/>
    <w:rsid w:val="00897794"/>
    <w:rsid w:val="008A1C9F"/>
    <w:rsid w:val="008A2574"/>
    <w:rsid w:val="008A2F5C"/>
    <w:rsid w:val="008A668B"/>
    <w:rsid w:val="008B523D"/>
    <w:rsid w:val="008C1F17"/>
    <w:rsid w:val="008C27EF"/>
    <w:rsid w:val="008C2C92"/>
    <w:rsid w:val="008C4D28"/>
    <w:rsid w:val="008C6FA8"/>
    <w:rsid w:val="008D0F86"/>
    <w:rsid w:val="008D4BE1"/>
    <w:rsid w:val="008D741B"/>
    <w:rsid w:val="008E3210"/>
    <w:rsid w:val="008F2F3F"/>
    <w:rsid w:val="009004F4"/>
    <w:rsid w:val="00906D04"/>
    <w:rsid w:val="00916993"/>
    <w:rsid w:val="0092446C"/>
    <w:rsid w:val="0093466D"/>
    <w:rsid w:val="0093506E"/>
    <w:rsid w:val="00942DAC"/>
    <w:rsid w:val="009548E5"/>
    <w:rsid w:val="00955076"/>
    <w:rsid w:val="00966269"/>
    <w:rsid w:val="009706D6"/>
    <w:rsid w:val="00970B46"/>
    <w:rsid w:val="00972A7F"/>
    <w:rsid w:val="00991369"/>
    <w:rsid w:val="009926D5"/>
    <w:rsid w:val="009A4C97"/>
    <w:rsid w:val="009A7D97"/>
    <w:rsid w:val="009B0324"/>
    <w:rsid w:val="009C35B3"/>
    <w:rsid w:val="009C54DD"/>
    <w:rsid w:val="009C61C4"/>
    <w:rsid w:val="009D6E9D"/>
    <w:rsid w:val="009E32DA"/>
    <w:rsid w:val="009E3F27"/>
    <w:rsid w:val="009E6AC4"/>
    <w:rsid w:val="009E6BC7"/>
    <w:rsid w:val="009E7CC0"/>
    <w:rsid w:val="009E7D8A"/>
    <w:rsid w:val="009F0F7B"/>
    <w:rsid w:val="00A06D18"/>
    <w:rsid w:val="00A10473"/>
    <w:rsid w:val="00A137E0"/>
    <w:rsid w:val="00A13C6C"/>
    <w:rsid w:val="00A177EB"/>
    <w:rsid w:val="00A21773"/>
    <w:rsid w:val="00A22F72"/>
    <w:rsid w:val="00A34F29"/>
    <w:rsid w:val="00A36693"/>
    <w:rsid w:val="00A3691F"/>
    <w:rsid w:val="00A4377A"/>
    <w:rsid w:val="00A50796"/>
    <w:rsid w:val="00A51C9F"/>
    <w:rsid w:val="00A52EE6"/>
    <w:rsid w:val="00A54AF4"/>
    <w:rsid w:val="00A551B1"/>
    <w:rsid w:val="00A5525D"/>
    <w:rsid w:val="00A66B1F"/>
    <w:rsid w:val="00A709B0"/>
    <w:rsid w:val="00A7199F"/>
    <w:rsid w:val="00A72357"/>
    <w:rsid w:val="00A77C7D"/>
    <w:rsid w:val="00A805F1"/>
    <w:rsid w:val="00A817F9"/>
    <w:rsid w:val="00A8429C"/>
    <w:rsid w:val="00A90395"/>
    <w:rsid w:val="00AA035A"/>
    <w:rsid w:val="00AA500A"/>
    <w:rsid w:val="00AB14EB"/>
    <w:rsid w:val="00AB3612"/>
    <w:rsid w:val="00AC3C7D"/>
    <w:rsid w:val="00AC4F44"/>
    <w:rsid w:val="00AD7C88"/>
    <w:rsid w:val="00AE6789"/>
    <w:rsid w:val="00AE750E"/>
    <w:rsid w:val="00AE78D1"/>
    <w:rsid w:val="00AE7CB7"/>
    <w:rsid w:val="00AF0B90"/>
    <w:rsid w:val="00AF1EBA"/>
    <w:rsid w:val="00AF1F5B"/>
    <w:rsid w:val="00AF777A"/>
    <w:rsid w:val="00B02B96"/>
    <w:rsid w:val="00B03746"/>
    <w:rsid w:val="00B0455C"/>
    <w:rsid w:val="00B14897"/>
    <w:rsid w:val="00B17B86"/>
    <w:rsid w:val="00B20670"/>
    <w:rsid w:val="00B22E3E"/>
    <w:rsid w:val="00B25C98"/>
    <w:rsid w:val="00B30BAD"/>
    <w:rsid w:val="00B40307"/>
    <w:rsid w:val="00B41BC4"/>
    <w:rsid w:val="00B44314"/>
    <w:rsid w:val="00B54984"/>
    <w:rsid w:val="00B55703"/>
    <w:rsid w:val="00B74C29"/>
    <w:rsid w:val="00B8037E"/>
    <w:rsid w:val="00B941B8"/>
    <w:rsid w:val="00B96826"/>
    <w:rsid w:val="00BA668D"/>
    <w:rsid w:val="00BB0920"/>
    <w:rsid w:val="00BB198D"/>
    <w:rsid w:val="00BB601E"/>
    <w:rsid w:val="00BD07D6"/>
    <w:rsid w:val="00BD0EA9"/>
    <w:rsid w:val="00BE5C5E"/>
    <w:rsid w:val="00BE639D"/>
    <w:rsid w:val="00BE6CA9"/>
    <w:rsid w:val="00BF3156"/>
    <w:rsid w:val="00BF5022"/>
    <w:rsid w:val="00C0009E"/>
    <w:rsid w:val="00C105D6"/>
    <w:rsid w:val="00C1205E"/>
    <w:rsid w:val="00C12677"/>
    <w:rsid w:val="00C1602F"/>
    <w:rsid w:val="00C3189E"/>
    <w:rsid w:val="00C31A9D"/>
    <w:rsid w:val="00C35901"/>
    <w:rsid w:val="00C435B5"/>
    <w:rsid w:val="00C45038"/>
    <w:rsid w:val="00C63BEA"/>
    <w:rsid w:val="00C66DA0"/>
    <w:rsid w:val="00C66F5A"/>
    <w:rsid w:val="00C726F4"/>
    <w:rsid w:val="00C72751"/>
    <w:rsid w:val="00C8003F"/>
    <w:rsid w:val="00C81409"/>
    <w:rsid w:val="00C84966"/>
    <w:rsid w:val="00C85DF6"/>
    <w:rsid w:val="00C93549"/>
    <w:rsid w:val="00C96D44"/>
    <w:rsid w:val="00C9729D"/>
    <w:rsid w:val="00CA000A"/>
    <w:rsid w:val="00CA243A"/>
    <w:rsid w:val="00CA7502"/>
    <w:rsid w:val="00CB0438"/>
    <w:rsid w:val="00CE65BA"/>
    <w:rsid w:val="00CF6567"/>
    <w:rsid w:val="00CF65EA"/>
    <w:rsid w:val="00D007F9"/>
    <w:rsid w:val="00D00A60"/>
    <w:rsid w:val="00D024CB"/>
    <w:rsid w:val="00D02FCC"/>
    <w:rsid w:val="00D06E67"/>
    <w:rsid w:val="00D12036"/>
    <w:rsid w:val="00D2501F"/>
    <w:rsid w:val="00D26070"/>
    <w:rsid w:val="00D30A84"/>
    <w:rsid w:val="00D41063"/>
    <w:rsid w:val="00D50635"/>
    <w:rsid w:val="00D50FEC"/>
    <w:rsid w:val="00D61B7E"/>
    <w:rsid w:val="00D63696"/>
    <w:rsid w:val="00D6553A"/>
    <w:rsid w:val="00D67811"/>
    <w:rsid w:val="00D70777"/>
    <w:rsid w:val="00D759A7"/>
    <w:rsid w:val="00D76DB4"/>
    <w:rsid w:val="00D852A9"/>
    <w:rsid w:val="00D86447"/>
    <w:rsid w:val="00D86DE7"/>
    <w:rsid w:val="00D903F9"/>
    <w:rsid w:val="00D93482"/>
    <w:rsid w:val="00D943CB"/>
    <w:rsid w:val="00D95C3C"/>
    <w:rsid w:val="00DB1C24"/>
    <w:rsid w:val="00DC0156"/>
    <w:rsid w:val="00DC07D2"/>
    <w:rsid w:val="00DC1350"/>
    <w:rsid w:val="00DC13F1"/>
    <w:rsid w:val="00DC2E24"/>
    <w:rsid w:val="00DC6100"/>
    <w:rsid w:val="00DD2401"/>
    <w:rsid w:val="00DF1262"/>
    <w:rsid w:val="00DF1CF1"/>
    <w:rsid w:val="00DF6A5D"/>
    <w:rsid w:val="00DF7066"/>
    <w:rsid w:val="00E12F71"/>
    <w:rsid w:val="00E1550D"/>
    <w:rsid w:val="00E156F8"/>
    <w:rsid w:val="00E16BF7"/>
    <w:rsid w:val="00E16CD4"/>
    <w:rsid w:val="00E218E8"/>
    <w:rsid w:val="00E22182"/>
    <w:rsid w:val="00E27A81"/>
    <w:rsid w:val="00E31336"/>
    <w:rsid w:val="00E31B38"/>
    <w:rsid w:val="00E36572"/>
    <w:rsid w:val="00E450C3"/>
    <w:rsid w:val="00E455E3"/>
    <w:rsid w:val="00E555B0"/>
    <w:rsid w:val="00E567C4"/>
    <w:rsid w:val="00E56BF5"/>
    <w:rsid w:val="00E6185A"/>
    <w:rsid w:val="00E62D84"/>
    <w:rsid w:val="00E66A85"/>
    <w:rsid w:val="00E7531A"/>
    <w:rsid w:val="00E76743"/>
    <w:rsid w:val="00E7754A"/>
    <w:rsid w:val="00E91DF0"/>
    <w:rsid w:val="00E95167"/>
    <w:rsid w:val="00EA4AA3"/>
    <w:rsid w:val="00EA6677"/>
    <w:rsid w:val="00EB4B10"/>
    <w:rsid w:val="00EB6892"/>
    <w:rsid w:val="00EB73E3"/>
    <w:rsid w:val="00EC387E"/>
    <w:rsid w:val="00ED16E2"/>
    <w:rsid w:val="00ED5356"/>
    <w:rsid w:val="00EE0091"/>
    <w:rsid w:val="00EE11CC"/>
    <w:rsid w:val="00EE3847"/>
    <w:rsid w:val="00EE79C2"/>
    <w:rsid w:val="00EF0986"/>
    <w:rsid w:val="00EF366A"/>
    <w:rsid w:val="00F02A78"/>
    <w:rsid w:val="00F05DEB"/>
    <w:rsid w:val="00F23E93"/>
    <w:rsid w:val="00F408BB"/>
    <w:rsid w:val="00F506D2"/>
    <w:rsid w:val="00F53060"/>
    <w:rsid w:val="00F5672E"/>
    <w:rsid w:val="00F57472"/>
    <w:rsid w:val="00F61F95"/>
    <w:rsid w:val="00F62A05"/>
    <w:rsid w:val="00F63918"/>
    <w:rsid w:val="00F63B14"/>
    <w:rsid w:val="00F648EE"/>
    <w:rsid w:val="00F70266"/>
    <w:rsid w:val="00F7561F"/>
    <w:rsid w:val="00F8004C"/>
    <w:rsid w:val="00F821DE"/>
    <w:rsid w:val="00F84DD6"/>
    <w:rsid w:val="00F86E90"/>
    <w:rsid w:val="00F97AFC"/>
    <w:rsid w:val="00FA5B82"/>
    <w:rsid w:val="00FB2248"/>
    <w:rsid w:val="00FB268E"/>
    <w:rsid w:val="00FB3490"/>
    <w:rsid w:val="00FB3CBB"/>
    <w:rsid w:val="00FB541F"/>
    <w:rsid w:val="00FB631E"/>
    <w:rsid w:val="00FB6925"/>
    <w:rsid w:val="00FE25B0"/>
    <w:rsid w:val="00FE3835"/>
    <w:rsid w:val="00FF22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D92B1"/>
  <w15:chartTrackingRefBased/>
  <w15:docId w15:val="{AA3FF5B2-B15C-4B94-9CF9-55C2D99F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6E2"/>
    <w:rPr>
      <w:sz w:val="24"/>
      <w:szCs w:val="24"/>
      <w:lang w:val="es-ES" w:eastAsia="es-ES"/>
    </w:rPr>
  </w:style>
  <w:style w:type="paragraph" w:styleId="Ttulo1">
    <w:name w:val="heading 1"/>
    <w:basedOn w:val="Normal"/>
    <w:next w:val="Normal"/>
    <w:qFormat/>
    <w:pPr>
      <w:keepNext/>
      <w:outlineLvl w:val="0"/>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uiPriority w:val="99"/>
    <w:rPr>
      <w:color w:val="0000FF"/>
      <w:u w:val="single"/>
    </w:rPr>
  </w:style>
  <w:style w:type="paragraph" w:customStyle="1" w:styleId="toa">
    <w:name w:val="toa"/>
    <w:basedOn w:val="Normal"/>
    <w:pPr>
      <w:widowControl w:val="0"/>
      <w:tabs>
        <w:tab w:val="left" w:pos="0"/>
        <w:tab w:val="left" w:pos="9000"/>
        <w:tab w:val="right" w:pos="9360"/>
      </w:tabs>
      <w:suppressAutoHyphens/>
      <w:jc w:val="both"/>
    </w:pPr>
    <w:rPr>
      <w:rFonts w:eastAsia="Arial Unicode MS"/>
      <w:spacing w:val="-2"/>
      <w:lang w:val="en-US"/>
    </w:rPr>
  </w:style>
  <w:style w:type="paragraph" w:customStyle="1" w:styleId="epgrafe">
    <w:name w:val="epígrafe"/>
    <w:basedOn w:val="Normal"/>
    <w:rPr>
      <w:rFonts w:ascii="Arial" w:hAnsi="Arial"/>
      <w:szCs w:val="20"/>
      <w:lang w:val="es-ES_tradnl"/>
    </w:rPr>
  </w:style>
  <w:style w:type="paragraph" w:customStyle="1" w:styleId="Ttulo11">
    <w:name w:val="Título 11"/>
    <w:basedOn w:val="Normal"/>
    <w:next w:val="Normal"/>
    <w:pPr>
      <w:keepNext/>
      <w:widowControl w:val="0"/>
      <w:tabs>
        <w:tab w:val="num" w:pos="0"/>
      </w:tabs>
      <w:suppressAutoHyphens/>
      <w:jc w:val="both"/>
    </w:pPr>
    <w:rPr>
      <w:rFonts w:eastAsia="Arial Unicode MS"/>
      <w:b/>
      <w:bCs/>
      <w:lang w:val="es-MX" w:eastAsia="ar-SA"/>
    </w:rPr>
  </w:style>
  <w:style w:type="paragraph" w:styleId="Textoindependiente">
    <w:name w:val="Body Text"/>
    <w:basedOn w:val="Normal"/>
    <w:link w:val="TextoindependienteCar"/>
    <w:pPr>
      <w:autoSpaceDE w:val="0"/>
      <w:autoSpaceDN w:val="0"/>
      <w:jc w:val="both"/>
    </w:pPr>
    <w:rPr>
      <w:rFonts w:ascii="Book Antiqua" w:hAnsi="Book Antiqua"/>
      <w:caps/>
      <w:strike/>
      <w:sz w:val="22"/>
      <w:szCs w:val="22"/>
      <w:lang w:val="es-ES_tradnl"/>
    </w:rPr>
  </w:style>
  <w:style w:type="paragraph" w:styleId="Sangra3detindependiente">
    <w:name w:val="Body Text Indent 3"/>
    <w:basedOn w:val="Normal"/>
    <w:pPr>
      <w:spacing w:after="120"/>
      <w:ind w:left="283"/>
    </w:pPr>
    <w:rPr>
      <w:rFonts w:ascii="Garamond" w:hAnsi="Garamond"/>
      <w:b/>
      <w:bCs/>
      <w:caps/>
      <w:smallCaps/>
      <w:strike/>
      <w:sz w:val="16"/>
      <w:szCs w:val="16"/>
    </w:rPr>
  </w:style>
  <w:style w:type="paragraph" w:styleId="Textoindependiente3">
    <w:name w:val="Body Text 3"/>
    <w:basedOn w:val="Normal"/>
    <w:pPr>
      <w:jc w:val="both"/>
    </w:pPr>
    <w:rPr>
      <w:rFonts w:ascii="Arial" w:hAnsi="Arial"/>
      <w:sz w:val="22"/>
      <w:szCs w:val="20"/>
    </w:rPr>
  </w:style>
  <w:style w:type="paragraph" w:customStyle="1" w:styleId="Textoindependiente31">
    <w:name w:val="Texto independiente 31"/>
    <w:basedOn w:val="Normal"/>
    <w:rsid w:val="009E3F27"/>
    <w:pPr>
      <w:overflowPunct w:val="0"/>
      <w:autoSpaceDE w:val="0"/>
      <w:jc w:val="both"/>
      <w:textAlignment w:val="baseline"/>
    </w:pPr>
    <w:rPr>
      <w:rFonts w:ascii="Arial" w:hAnsi="Arial"/>
      <w:b/>
      <w:bCs/>
      <w:sz w:val="22"/>
      <w:szCs w:val="20"/>
      <w:lang w:val="es-ES_tradnl" w:eastAsia="ar-SA"/>
    </w:rPr>
  </w:style>
  <w:style w:type="paragraph" w:customStyle="1" w:styleId="Car">
    <w:name w:val="Car"/>
    <w:basedOn w:val="Normal"/>
    <w:rsid w:val="007A317E"/>
    <w:pPr>
      <w:spacing w:after="160" w:line="240" w:lineRule="exact"/>
    </w:pPr>
    <w:rPr>
      <w:rFonts w:ascii="Verdana" w:hAnsi="Verdana"/>
      <w:sz w:val="20"/>
      <w:lang w:val="en-US" w:eastAsia="en-US"/>
    </w:rPr>
  </w:style>
  <w:style w:type="paragraph" w:customStyle="1" w:styleId="Textoindependiente32">
    <w:name w:val="Texto independiente 32"/>
    <w:basedOn w:val="Normal"/>
    <w:rsid w:val="00600814"/>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hAnsi="Arial"/>
      <w:spacing w:val="-3"/>
      <w:sz w:val="26"/>
      <w:szCs w:val="20"/>
      <w:u w:val="single"/>
      <w:lang w:val="es-ES_tradnl" w:eastAsia="ar-SA"/>
    </w:rPr>
  </w:style>
  <w:style w:type="character" w:customStyle="1" w:styleId="PiedepginaCar">
    <w:name w:val="Pie de página Car"/>
    <w:link w:val="Piedepgina"/>
    <w:uiPriority w:val="99"/>
    <w:locked/>
    <w:rsid w:val="00777BF1"/>
    <w:rPr>
      <w:sz w:val="24"/>
      <w:szCs w:val="24"/>
      <w:lang w:val="es-ES" w:eastAsia="es-ES"/>
    </w:rPr>
  </w:style>
  <w:style w:type="character" w:customStyle="1" w:styleId="EncabezadoCar">
    <w:name w:val="Encabezado Car"/>
    <w:aliases w:val="h Car,h8 Car,h9 Car,h10 Car,h18 Car"/>
    <w:link w:val="Encabezado"/>
    <w:locked/>
    <w:rsid w:val="007213AC"/>
    <w:rPr>
      <w:sz w:val="24"/>
      <w:szCs w:val="24"/>
    </w:rPr>
  </w:style>
  <w:style w:type="paragraph" w:styleId="NormalWeb">
    <w:name w:val="Normal (Web)"/>
    <w:basedOn w:val="Normal"/>
    <w:uiPriority w:val="99"/>
    <w:unhideWhenUsed/>
    <w:rsid w:val="003A172A"/>
    <w:pPr>
      <w:spacing w:before="100" w:beforeAutospacing="1" w:after="100" w:afterAutospacing="1"/>
    </w:pPr>
    <w:rPr>
      <w:lang w:val="es-CO" w:eastAsia="es-CO"/>
    </w:rPr>
  </w:style>
  <w:style w:type="paragraph" w:customStyle="1" w:styleId="1">
    <w:name w:val="1"/>
    <w:basedOn w:val="Normal"/>
    <w:next w:val="Puesto"/>
    <w:qFormat/>
    <w:rsid w:val="00A90395"/>
    <w:pPr>
      <w:widowControl w:val="0"/>
      <w:overflowPunct w:val="0"/>
      <w:autoSpaceDE w:val="0"/>
      <w:autoSpaceDN w:val="0"/>
      <w:adjustRightInd w:val="0"/>
      <w:jc w:val="center"/>
      <w:textAlignment w:val="baseline"/>
    </w:pPr>
    <w:rPr>
      <w:b/>
      <w:sz w:val="28"/>
      <w:szCs w:val="20"/>
    </w:rPr>
  </w:style>
  <w:style w:type="paragraph" w:customStyle="1" w:styleId="Puesto">
    <w:name w:val="Puesto"/>
    <w:basedOn w:val="Normal"/>
    <w:next w:val="Normal"/>
    <w:link w:val="PuestoCar"/>
    <w:qFormat/>
    <w:rsid w:val="00A90395"/>
    <w:pPr>
      <w:spacing w:before="240" w:after="60"/>
      <w:jc w:val="center"/>
      <w:outlineLvl w:val="0"/>
    </w:pPr>
    <w:rPr>
      <w:rFonts w:ascii="Calibri Light" w:hAnsi="Calibri Light"/>
      <w:b/>
      <w:bCs/>
      <w:kern w:val="28"/>
      <w:sz w:val="32"/>
      <w:szCs w:val="32"/>
    </w:rPr>
  </w:style>
  <w:style w:type="character" w:customStyle="1" w:styleId="PuestoCar">
    <w:name w:val="Puesto Car"/>
    <w:link w:val="Puesto"/>
    <w:rsid w:val="00A90395"/>
    <w:rPr>
      <w:rFonts w:ascii="Calibri Light" w:eastAsia="Times New Roman" w:hAnsi="Calibri Light" w:cs="Times New Roman"/>
      <w:b/>
      <w:bCs/>
      <w:kern w:val="28"/>
      <w:sz w:val="32"/>
      <w:szCs w:val="32"/>
      <w:lang w:val="es-ES" w:eastAsia="es-ES"/>
    </w:rPr>
  </w:style>
  <w:style w:type="paragraph" w:styleId="Textodeglobo">
    <w:name w:val="Balloon Text"/>
    <w:basedOn w:val="Normal"/>
    <w:link w:val="TextodegloboCar"/>
    <w:rsid w:val="00E1550D"/>
    <w:rPr>
      <w:rFonts w:ascii="Segoe UI" w:hAnsi="Segoe UI" w:cs="Segoe UI"/>
      <w:sz w:val="18"/>
      <w:szCs w:val="18"/>
    </w:rPr>
  </w:style>
  <w:style w:type="character" w:customStyle="1" w:styleId="TextodegloboCar">
    <w:name w:val="Texto de globo Car"/>
    <w:link w:val="Textodeglobo"/>
    <w:rsid w:val="00E1550D"/>
    <w:rPr>
      <w:rFonts w:ascii="Segoe UI" w:hAnsi="Segoe UI" w:cs="Segoe UI"/>
      <w:sz w:val="18"/>
      <w:szCs w:val="18"/>
      <w:lang w:val="es-ES" w:eastAsia="es-ES"/>
    </w:rPr>
  </w:style>
  <w:style w:type="table" w:styleId="Tablaconcuadrcula">
    <w:name w:val="Table Grid"/>
    <w:basedOn w:val="Tablanormal"/>
    <w:rsid w:val="00D06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D63696"/>
    <w:rPr>
      <w:rFonts w:ascii="Book Antiqua" w:hAnsi="Book Antiqua"/>
      <w:caps/>
      <w:strike/>
      <w:sz w:val="22"/>
      <w:szCs w:val="22"/>
      <w:lang w:val="es-ES_tradnl" w:eastAsia="es-ES"/>
    </w:rPr>
  </w:style>
  <w:style w:type="paragraph" w:styleId="Prrafodelista">
    <w:name w:val="List Paragraph"/>
    <w:basedOn w:val="Normal"/>
    <w:uiPriority w:val="34"/>
    <w:qFormat/>
    <w:rsid w:val="0009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15D21-C2E4-4D6D-ADF8-7DEC6060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vt:lpstr>
    </vt:vector>
  </TitlesOfParts>
  <Company>EMPRESA DE LICORES DE CUNDINAMARCA</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XP19</dc:creator>
  <cp:keywords/>
  <dc:description/>
  <cp:lastModifiedBy>Sandra Milena Cubillos Gonzalez</cp:lastModifiedBy>
  <cp:revision>2</cp:revision>
  <cp:lastPrinted>2022-09-19T15:42:00Z</cp:lastPrinted>
  <dcterms:created xsi:type="dcterms:W3CDTF">2022-09-26T22:50:00Z</dcterms:created>
  <dcterms:modified xsi:type="dcterms:W3CDTF">2022-09-26T22:50:00Z</dcterms:modified>
</cp:coreProperties>
</file>