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7AC" w14:textId="77777777"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ACTO ADMINISTRATIVO</w:t>
      </w:r>
    </w:p>
    <w:p w14:paraId="5FB9A0D5" w14:textId="70254BC2"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w:t>
      </w:r>
      <w:r w:rsidR="00EC63D3">
        <w:rPr>
          <w:rFonts w:ascii="Arial" w:eastAsia="Batang" w:hAnsi="Arial" w:cs="Arial"/>
          <w:b/>
          <w:bCs/>
          <w:sz w:val="18"/>
          <w:szCs w:val="20"/>
        </w:rPr>
        <w:t xml:space="preserve">06 de </w:t>
      </w:r>
      <w:proofErr w:type="gramStart"/>
      <w:r w:rsidR="00EC63D3">
        <w:rPr>
          <w:rFonts w:ascii="Arial" w:eastAsia="Batang" w:hAnsi="Arial" w:cs="Arial"/>
          <w:b/>
          <w:bCs/>
          <w:sz w:val="18"/>
          <w:szCs w:val="20"/>
        </w:rPr>
        <w:t>Abril</w:t>
      </w:r>
      <w:proofErr w:type="gramEnd"/>
      <w:r w:rsidR="00EC63D3">
        <w:rPr>
          <w:rFonts w:ascii="Arial" w:eastAsia="Batang" w:hAnsi="Arial" w:cs="Arial"/>
          <w:b/>
          <w:bCs/>
          <w:sz w:val="18"/>
          <w:szCs w:val="20"/>
        </w:rPr>
        <w:t xml:space="preserve"> de 2022</w:t>
      </w:r>
      <w:r w:rsidRPr="0003762F">
        <w:rPr>
          <w:rFonts w:ascii="Arial" w:eastAsia="Batang" w:hAnsi="Arial" w:cs="Arial"/>
          <w:b/>
          <w:bCs/>
          <w:sz w:val="18"/>
          <w:szCs w:val="20"/>
        </w:rPr>
        <w:t>)</w:t>
      </w:r>
    </w:p>
    <w:p w14:paraId="6F5BF2ED" w14:textId="77777777"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14:paraId="35836F5A" w14:textId="2FF4EC7B"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POR LA CUAL SE DECLARA DESIERTO EL PROCESO INVITACION ABIERTA No</w:t>
      </w:r>
      <w:r w:rsidR="00EC63D3" w:rsidRPr="00EC63D3">
        <w:rPr>
          <w:rFonts w:ascii="Arial" w:eastAsia="Batang" w:hAnsi="Arial" w:cs="Arial"/>
          <w:sz w:val="18"/>
          <w:szCs w:val="20"/>
        </w:rPr>
        <w:t>. 011 de 2022</w:t>
      </w:r>
    </w:p>
    <w:p w14:paraId="0E538FEA"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36C4AAAC"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LA EMPRESA DE LICORES DE CUNDINAMARCA, Y EN CUMPLIMIENTO DE LA LEY 1150 DE 2007, LOS ARTÍCULOS 93 Y 95 DE LA LEY 1474 DE 2011, RESOLUCION 20147140-00006265 Y DEMAS NORMAS CONCORDANTES </w:t>
      </w:r>
    </w:p>
    <w:p w14:paraId="31D457D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3A3A6DEE" w14:textId="77777777"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CONSIDERANDO:</w:t>
      </w:r>
    </w:p>
    <w:p w14:paraId="6E981E59"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5CD122D5" w14:textId="26B147C7" w:rsidR="004E6747" w:rsidRPr="0003762F" w:rsidRDefault="004E6747" w:rsidP="004E6747">
      <w:pPr>
        <w:spacing w:after="238"/>
        <w:ind w:left="-5" w:right="12"/>
        <w:jc w:val="both"/>
        <w:rPr>
          <w:rFonts w:ascii="Arial" w:eastAsia="Batang" w:hAnsi="Arial" w:cs="Arial"/>
          <w:sz w:val="18"/>
          <w:szCs w:val="20"/>
        </w:rPr>
      </w:pPr>
      <w:r w:rsidRPr="0003762F">
        <w:rPr>
          <w:rFonts w:ascii="Arial" w:eastAsia="Batang" w:hAnsi="Arial" w:cs="Arial"/>
          <w:sz w:val="18"/>
          <w:szCs w:val="20"/>
        </w:rPr>
        <w:t>Que La Empresa de Licores de Cundinamarca, adelantó el proceso de Invitación Abierta No. 0</w:t>
      </w:r>
      <w:r w:rsidR="00EC63D3">
        <w:rPr>
          <w:rFonts w:ascii="Arial" w:eastAsia="Batang" w:hAnsi="Arial" w:cs="Arial"/>
          <w:sz w:val="18"/>
          <w:szCs w:val="20"/>
        </w:rPr>
        <w:t>11</w:t>
      </w:r>
      <w:r w:rsidRPr="0003762F">
        <w:rPr>
          <w:rFonts w:ascii="Arial" w:eastAsia="Batang" w:hAnsi="Arial" w:cs="Arial"/>
          <w:sz w:val="18"/>
          <w:szCs w:val="20"/>
        </w:rPr>
        <w:t xml:space="preserve"> de 20</w:t>
      </w:r>
      <w:r w:rsidR="006E44E6" w:rsidRPr="0003762F">
        <w:rPr>
          <w:rFonts w:ascii="Arial" w:eastAsia="Batang" w:hAnsi="Arial" w:cs="Arial"/>
          <w:sz w:val="18"/>
          <w:szCs w:val="20"/>
        </w:rPr>
        <w:t>2</w:t>
      </w:r>
      <w:r w:rsidR="00EC63D3">
        <w:rPr>
          <w:rFonts w:ascii="Arial" w:eastAsia="Batang" w:hAnsi="Arial" w:cs="Arial"/>
          <w:sz w:val="18"/>
          <w:szCs w:val="20"/>
        </w:rPr>
        <w:t>2</w:t>
      </w:r>
      <w:r w:rsidRPr="0003762F">
        <w:rPr>
          <w:rFonts w:ascii="Arial" w:eastAsia="Batang" w:hAnsi="Arial" w:cs="Arial"/>
          <w:sz w:val="18"/>
          <w:szCs w:val="20"/>
        </w:rPr>
        <w:t xml:space="preserve"> cuyo objeto es la: “</w:t>
      </w:r>
      <w:r w:rsidR="00EC63D3" w:rsidRPr="00EC63D3">
        <w:rPr>
          <w:rFonts w:ascii="Arial" w:hAnsi="Arial" w:cs="Arial"/>
          <w:b/>
          <w:sz w:val="18"/>
          <w:szCs w:val="20"/>
          <w:lang w:val="es-ES"/>
        </w:rPr>
        <w:t>CONTRATAR LA COMPRA E INSTALACIÓN DE PLATAFORMAS DE INGRESO OPERACIONAL A LAS LÍNEAS DE PRODUCCIÓN L1YL2 -L8YL9</w:t>
      </w:r>
      <w:r w:rsidRPr="0003762F">
        <w:rPr>
          <w:rFonts w:ascii="Arial" w:eastAsia="Arial Unicode MS" w:hAnsi="Arial" w:cs="Arial"/>
          <w:color w:val="000000"/>
          <w:sz w:val="18"/>
          <w:szCs w:val="20"/>
          <w:lang w:val="es-ES" w:eastAsia="ar-SA"/>
        </w:rPr>
        <w:t xml:space="preserve">”, </w:t>
      </w:r>
      <w:r w:rsidRPr="0003762F">
        <w:rPr>
          <w:rFonts w:ascii="Arial" w:eastAsia="Batang" w:hAnsi="Arial" w:cs="Arial"/>
          <w:sz w:val="18"/>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5E3231CC"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46AD58F1" w14:textId="77777777"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14:paraId="0339FCBB" w14:textId="541215EF"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conforme lo establecido en el manual de contratación de la Empresa de Licores de Cundinamarca, principios de la Ley 80 de 1993 y sus decretos reglamentarios 1150 de 2007 y 1082 de 2015, el día </w:t>
      </w:r>
      <w:r w:rsidR="00D9546B" w:rsidRPr="0003762F">
        <w:rPr>
          <w:rFonts w:ascii="Arial" w:eastAsia="Batang" w:hAnsi="Arial" w:cs="Arial"/>
          <w:sz w:val="18"/>
          <w:szCs w:val="20"/>
        </w:rPr>
        <w:t xml:space="preserve">16 de </w:t>
      </w:r>
      <w:r w:rsidR="000F3A3F">
        <w:rPr>
          <w:rFonts w:ascii="Arial" w:eastAsia="Batang" w:hAnsi="Arial" w:cs="Arial"/>
          <w:sz w:val="18"/>
          <w:szCs w:val="20"/>
        </w:rPr>
        <w:t>j</w:t>
      </w:r>
      <w:r w:rsidR="00D9546B" w:rsidRPr="0003762F">
        <w:rPr>
          <w:rFonts w:ascii="Arial" w:eastAsia="Batang" w:hAnsi="Arial" w:cs="Arial"/>
          <w:sz w:val="18"/>
          <w:szCs w:val="20"/>
        </w:rPr>
        <w:t>unio</w:t>
      </w:r>
      <w:r w:rsidR="000F3A3F">
        <w:rPr>
          <w:rFonts w:ascii="Arial" w:eastAsia="Batang" w:hAnsi="Arial" w:cs="Arial"/>
          <w:sz w:val="18"/>
          <w:szCs w:val="20"/>
        </w:rPr>
        <w:t xml:space="preserve"> </w:t>
      </w:r>
      <w:r w:rsidRPr="0003762F">
        <w:rPr>
          <w:rFonts w:ascii="Arial" w:eastAsia="Batang" w:hAnsi="Arial" w:cs="Arial"/>
          <w:sz w:val="18"/>
          <w:szCs w:val="20"/>
        </w:rPr>
        <w:t xml:space="preserve">se publicó en la página de la Empresa de Licores de Cundinamarca, la Invitación Abierta No. </w:t>
      </w:r>
      <w:r w:rsidR="00EC63D3" w:rsidRPr="00EC63D3">
        <w:rPr>
          <w:rFonts w:ascii="Arial" w:eastAsia="Batang" w:hAnsi="Arial" w:cs="Arial"/>
          <w:sz w:val="18"/>
          <w:szCs w:val="20"/>
        </w:rPr>
        <w:t>011 de 2022</w:t>
      </w:r>
      <w:r w:rsidRPr="0003762F">
        <w:rPr>
          <w:rFonts w:ascii="Arial" w:eastAsia="Batang" w:hAnsi="Arial" w:cs="Arial"/>
          <w:sz w:val="18"/>
          <w:szCs w:val="20"/>
        </w:rPr>
        <w:t xml:space="preserve"> y durante los días comprendidos entre el </w:t>
      </w:r>
      <w:r w:rsidR="00EC63D3" w:rsidRPr="00EC63D3">
        <w:rPr>
          <w:rFonts w:ascii="Arial" w:eastAsia="Batang" w:hAnsi="Arial" w:cs="Arial"/>
          <w:sz w:val="18"/>
          <w:szCs w:val="20"/>
        </w:rPr>
        <w:t>24 al 28 de marzo de 2022</w:t>
      </w:r>
      <w:r w:rsidRPr="0003762F">
        <w:rPr>
          <w:rFonts w:ascii="Arial" w:eastAsia="Batang" w:hAnsi="Arial" w:cs="Arial"/>
          <w:sz w:val="18"/>
          <w:szCs w:val="20"/>
        </w:rPr>
        <w:t xml:space="preserve">, período en el cual </w:t>
      </w:r>
      <w:r w:rsidR="00EC63D3">
        <w:rPr>
          <w:rFonts w:ascii="Arial" w:eastAsia="Batang" w:hAnsi="Arial" w:cs="Arial"/>
          <w:sz w:val="18"/>
          <w:szCs w:val="20"/>
        </w:rPr>
        <w:t xml:space="preserve">no </w:t>
      </w:r>
      <w:r w:rsidRPr="0003762F">
        <w:rPr>
          <w:rFonts w:ascii="Arial" w:eastAsia="Batang" w:hAnsi="Arial" w:cs="Arial"/>
          <w:sz w:val="18"/>
          <w:szCs w:val="20"/>
        </w:rPr>
        <w:t xml:space="preserve">se presentaron </w:t>
      </w:r>
      <w:r w:rsidR="004255D0" w:rsidRPr="0003762F">
        <w:rPr>
          <w:rFonts w:ascii="Arial" w:eastAsia="Batang" w:hAnsi="Arial" w:cs="Arial"/>
          <w:sz w:val="18"/>
          <w:szCs w:val="20"/>
        </w:rPr>
        <w:t>observacion</w:t>
      </w:r>
      <w:r w:rsidR="004255D0">
        <w:rPr>
          <w:rFonts w:ascii="Arial" w:eastAsia="Batang" w:hAnsi="Arial" w:cs="Arial"/>
          <w:sz w:val="18"/>
          <w:szCs w:val="20"/>
        </w:rPr>
        <w:t>es</w:t>
      </w:r>
      <w:r w:rsidRPr="0003762F">
        <w:rPr>
          <w:rFonts w:ascii="Arial" w:eastAsia="Batang" w:hAnsi="Arial" w:cs="Arial"/>
          <w:sz w:val="18"/>
          <w:szCs w:val="20"/>
        </w:rPr>
        <w:t xml:space="preserve"> a la Invitación Abierta. </w:t>
      </w:r>
      <w:r w:rsidR="004255D0">
        <w:rPr>
          <w:rFonts w:ascii="Arial" w:eastAsia="Batang" w:hAnsi="Arial" w:cs="Arial"/>
          <w:sz w:val="18"/>
          <w:szCs w:val="20"/>
        </w:rPr>
        <w:t xml:space="preserve">Se estableció una visita técnica el día </w:t>
      </w:r>
      <w:r w:rsidR="004255D0" w:rsidRPr="004255D0">
        <w:rPr>
          <w:rFonts w:ascii="Arial" w:eastAsia="Batang" w:hAnsi="Arial" w:cs="Arial"/>
          <w:sz w:val="18"/>
          <w:szCs w:val="20"/>
        </w:rPr>
        <w:t xml:space="preserve">28 de </w:t>
      </w:r>
      <w:proofErr w:type="gramStart"/>
      <w:r w:rsidR="004255D0" w:rsidRPr="004255D0">
        <w:rPr>
          <w:rFonts w:ascii="Arial" w:eastAsia="Batang" w:hAnsi="Arial" w:cs="Arial"/>
          <w:sz w:val="18"/>
          <w:szCs w:val="20"/>
        </w:rPr>
        <w:t>Marzo</w:t>
      </w:r>
      <w:proofErr w:type="gramEnd"/>
      <w:r w:rsidR="004255D0" w:rsidRPr="004255D0">
        <w:rPr>
          <w:rFonts w:ascii="Arial" w:eastAsia="Batang" w:hAnsi="Arial" w:cs="Arial"/>
          <w:sz w:val="18"/>
          <w:szCs w:val="20"/>
        </w:rPr>
        <w:t xml:space="preserve"> de 2022 10:00 am</w:t>
      </w:r>
      <w:r w:rsidR="004255D0">
        <w:rPr>
          <w:rFonts w:ascii="Arial" w:eastAsia="Batang" w:hAnsi="Arial" w:cs="Arial"/>
          <w:sz w:val="18"/>
          <w:szCs w:val="20"/>
        </w:rPr>
        <w:t>, para que los futuros oferentes conozcan las condiciones técnicas sobre las cuales se va a dar cumplimiento al objeto contractual.</w:t>
      </w:r>
    </w:p>
    <w:p w14:paraId="62A149FA"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609FF6EE" w14:textId="7D0E3781" w:rsidR="004E6747" w:rsidRPr="0003762F" w:rsidRDefault="004E6747" w:rsidP="004255D0">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el día </w:t>
      </w:r>
      <w:r w:rsidR="004255D0" w:rsidRPr="004255D0">
        <w:rPr>
          <w:rFonts w:ascii="Arial" w:eastAsia="Batang" w:hAnsi="Arial" w:cs="Arial"/>
          <w:sz w:val="18"/>
          <w:szCs w:val="20"/>
        </w:rPr>
        <w:t>31 de marzo de 2022 a las 10:00 am</w:t>
      </w:r>
      <w:r w:rsidRPr="0003762F">
        <w:rPr>
          <w:rFonts w:ascii="Arial" w:eastAsia="Batang" w:hAnsi="Arial" w:cs="Arial"/>
          <w:sz w:val="18"/>
          <w:szCs w:val="20"/>
        </w:rPr>
        <w:t xml:space="preserve">., en la fecha y hora programada para el cierre de la invitación abierta No. </w:t>
      </w:r>
      <w:r w:rsidR="004255D0">
        <w:rPr>
          <w:rFonts w:ascii="Arial" w:eastAsia="Batang" w:hAnsi="Arial" w:cs="Arial"/>
          <w:sz w:val="18"/>
          <w:szCs w:val="20"/>
        </w:rPr>
        <w:t>011 de 2022</w:t>
      </w:r>
      <w:r w:rsidRPr="0003762F">
        <w:rPr>
          <w:rFonts w:ascii="Arial" w:eastAsia="Batang" w:hAnsi="Arial" w:cs="Arial"/>
          <w:sz w:val="18"/>
          <w:szCs w:val="20"/>
        </w:rPr>
        <w:t>, se presentó un solo oferente así:</w:t>
      </w:r>
    </w:p>
    <w:p w14:paraId="73D0E3A5"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tbl>
      <w:tblPr>
        <w:tblStyle w:val="Tablaconcuadrcula"/>
        <w:tblW w:w="8926" w:type="dxa"/>
        <w:tblLook w:val="04A0" w:firstRow="1" w:lastRow="0" w:firstColumn="1" w:lastColumn="0" w:noHBand="0" w:noVBand="1"/>
      </w:tblPr>
      <w:tblGrid>
        <w:gridCol w:w="1696"/>
        <w:gridCol w:w="1276"/>
        <w:gridCol w:w="1134"/>
        <w:gridCol w:w="1701"/>
        <w:gridCol w:w="1701"/>
        <w:gridCol w:w="1418"/>
      </w:tblGrid>
      <w:tr w:rsidR="004255D0" w:rsidRPr="004255D0" w14:paraId="3ED823A0" w14:textId="77777777" w:rsidTr="00732C30">
        <w:trPr>
          <w:trHeight w:val="184"/>
        </w:trPr>
        <w:tc>
          <w:tcPr>
            <w:tcW w:w="1696" w:type="dxa"/>
            <w:tcBorders>
              <w:top w:val="single" w:sz="4" w:space="0" w:color="auto"/>
              <w:left w:val="single" w:sz="4" w:space="0" w:color="auto"/>
              <w:bottom w:val="single" w:sz="4" w:space="0" w:color="auto"/>
              <w:right w:val="single" w:sz="4" w:space="0" w:color="auto"/>
            </w:tcBorders>
            <w:hideMark/>
          </w:tcPr>
          <w:p w14:paraId="4674DF06"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PROPONENTE</w:t>
            </w:r>
          </w:p>
        </w:tc>
        <w:tc>
          <w:tcPr>
            <w:tcW w:w="1276" w:type="dxa"/>
            <w:tcBorders>
              <w:top w:val="single" w:sz="4" w:space="0" w:color="auto"/>
              <w:left w:val="single" w:sz="4" w:space="0" w:color="auto"/>
              <w:bottom w:val="single" w:sz="4" w:space="0" w:color="auto"/>
              <w:right w:val="single" w:sz="4" w:space="0" w:color="auto"/>
            </w:tcBorders>
            <w:hideMark/>
          </w:tcPr>
          <w:p w14:paraId="0C9CCB0A"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NIT</w:t>
            </w:r>
          </w:p>
        </w:tc>
        <w:tc>
          <w:tcPr>
            <w:tcW w:w="1134" w:type="dxa"/>
            <w:tcBorders>
              <w:top w:val="single" w:sz="4" w:space="0" w:color="auto"/>
              <w:left w:val="single" w:sz="4" w:space="0" w:color="auto"/>
              <w:bottom w:val="single" w:sz="4" w:space="0" w:color="auto"/>
              <w:right w:val="single" w:sz="4" w:space="0" w:color="auto"/>
            </w:tcBorders>
            <w:hideMark/>
          </w:tcPr>
          <w:p w14:paraId="7625FAA6"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SOBRES</w:t>
            </w:r>
          </w:p>
        </w:tc>
        <w:tc>
          <w:tcPr>
            <w:tcW w:w="1701" w:type="dxa"/>
            <w:tcBorders>
              <w:top w:val="single" w:sz="4" w:space="0" w:color="auto"/>
              <w:left w:val="single" w:sz="4" w:space="0" w:color="auto"/>
              <w:bottom w:val="single" w:sz="4" w:space="0" w:color="auto"/>
              <w:right w:val="single" w:sz="4" w:space="0" w:color="auto"/>
            </w:tcBorders>
            <w:hideMark/>
          </w:tcPr>
          <w:p w14:paraId="2A0D9F1A"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FOLIOS</w:t>
            </w:r>
          </w:p>
        </w:tc>
        <w:tc>
          <w:tcPr>
            <w:tcW w:w="1701" w:type="dxa"/>
            <w:tcBorders>
              <w:top w:val="single" w:sz="4" w:space="0" w:color="auto"/>
              <w:left w:val="single" w:sz="4" w:space="0" w:color="auto"/>
              <w:bottom w:val="single" w:sz="4" w:space="0" w:color="auto"/>
              <w:right w:val="single" w:sz="4" w:space="0" w:color="auto"/>
            </w:tcBorders>
          </w:tcPr>
          <w:p w14:paraId="679D7864"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VALOR OFERTA</w:t>
            </w:r>
          </w:p>
        </w:tc>
        <w:tc>
          <w:tcPr>
            <w:tcW w:w="1418" w:type="dxa"/>
            <w:tcBorders>
              <w:top w:val="single" w:sz="4" w:space="0" w:color="auto"/>
              <w:left w:val="single" w:sz="4" w:space="0" w:color="auto"/>
              <w:bottom w:val="single" w:sz="4" w:space="0" w:color="auto"/>
              <w:right w:val="single" w:sz="4" w:space="0" w:color="auto"/>
            </w:tcBorders>
          </w:tcPr>
          <w:p w14:paraId="1F208D44"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GARANTIA DE SERIEDAD</w:t>
            </w:r>
          </w:p>
        </w:tc>
      </w:tr>
      <w:tr w:rsidR="004255D0" w:rsidRPr="004255D0" w14:paraId="240C87C7" w14:textId="77777777" w:rsidTr="00732C30">
        <w:trPr>
          <w:trHeight w:val="399"/>
        </w:trPr>
        <w:tc>
          <w:tcPr>
            <w:tcW w:w="1696" w:type="dxa"/>
            <w:tcBorders>
              <w:top w:val="single" w:sz="4" w:space="0" w:color="auto"/>
              <w:left w:val="single" w:sz="4" w:space="0" w:color="auto"/>
              <w:bottom w:val="single" w:sz="4" w:space="0" w:color="auto"/>
              <w:right w:val="single" w:sz="4" w:space="0" w:color="auto"/>
            </w:tcBorders>
          </w:tcPr>
          <w:p w14:paraId="04DB7444" w14:textId="77777777" w:rsidR="004255D0" w:rsidRPr="004255D0" w:rsidRDefault="004255D0" w:rsidP="00732C30">
            <w:pPr>
              <w:jc w:val="center"/>
              <w:rPr>
                <w:rFonts w:ascii="Arial" w:hAnsi="Arial" w:cs="Arial"/>
                <w:b/>
                <w:sz w:val="14"/>
                <w:szCs w:val="20"/>
              </w:rPr>
            </w:pPr>
            <w:r w:rsidRPr="004255D0">
              <w:rPr>
                <w:rFonts w:ascii="Arial" w:hAnsi="Arial" w:cs="Arial"/>
                <w:b/>
                <w:sz w:val="14"/>
                <w:szCs w:val="20"/>
              </w:rPr>
              <w:t>INGENIERIA Y DESARROLLO ENERGETICO APLICADO SAS</w:t>
            </w:r>
          </w:p>
        </w:tc>
        <w:tc>
          <w:tcPr>
            <w:tcW w:w="1276" w:type="dxa"/>
            <w:tcBorders>
              <w:top w:val="single" w:sz="4" w:space="0" w:color="auto"/>
              <w:left w:val="single" w:sz="4" w:space="0" w:color="auto"/>
              <w:bottom w:val="single" w:sz="4" w:space="0" w:color="auto"/>
              <w:right w:val="single" w:sz="4" w:space="0" w:color="auto"/>
            </w:tcBorders>
          </w:tcPr>
          <w:p w14:paraId="7207FE96" w14:textId="77777777" w:rsidR="004255D0" w:rsidRPr="004255D0" w:rsidRDefault="004255D0" w:rsidP="00732C30">
            <w:pPr>
              <w:jc w:val="center"/>
              <w:rPr>
                <w:rFonts w:ascii="Arial" w:hAnsi="Arial" w:cs="Arial"/>
                <w:sz w:val="14"/>
                <w:szCs w:val="20"/>
              </w:rPr>
            </w:pPr>
          </w:p>
          <w:p w14:paraId="37BEAEF0" w14:textId="77777777" w:rsidR="004255D0" w:rsidRPr="004255D0" w:rsidRDefault="004255D0" w:rsidP="00732C30">
            <w:pPr>
              <w:jc w:val="center"/>
              <w:rPr>
                <w:rFonts w:ascii="Arial" w:hAnsi="Arial" w:cs="Arial"/>
                <w:sz w:val="14"/>
                <w:szCs w:val="20"/>
              </w:rPr>
            </w:pPr>
            <w:r w:rsidRPr="004255D0">
              <w:rPr>
                <w:rFonts w:ascii="Arial" w:hAnsi="Arial" w:cs="Arial"/>
                <w:sz w:val="14"/>
                <w:szCs w:val="20"/>
              </w:rPr>
              <w:t>901.281.191-1</w:t>
            </w:r>
          </w:p>
        </w:tc>
        <w:tc>
          <w:tcPr>
            <w:tcW w:w="1134" w:type="dxa"/>
            <w:tcBorders>
              <w:top w:val="single" w:sz="4" w:space="0" w:color="auto"/>
              <w:left w:val="single" w:sz="4" w:space="0" w:color="auto"/>
              <w:bottom w:val="single" w:sz="4" w:space="0" w:color="auto"/>
              <w:right w:val="single" w:sz="4" w:space="0" w:color="auto"/>
            </w:tcBorders>
            <w:hideMark/>
          </w:tcPr>
          <w:p w14:paraId="2949FD23" w14:textId="77777777" w:rsidR="004255D0" w:rsidRPr="004255D0" w:rsidRDefault="004255D0" w:rsidP="00732C30">
            <w:pPr>
              <w:rPr>
                <w:rFonts w:ascii="Arial" w:hAnsi="Arial" w:cs="Arial"/>
                <w:sz w:val="14"/>
                <w:szCs w:val="20"/>
              </w:rPr>
            </w:pPr>
          </w:p>
          <w:p w14:paraId="1680FA4A" w14:textId="3CA6B737" w:rsidR="004255D0" w:rsidRPr="004255D0" w:rsidRDefault="004255D0" w:rsidP="00732C30">
            <w:pPr>
              <w:rPr>
                <w:rFonts w:ascii="Arial" w:hAnsi="Arial" w:cs="Arial"/>
                <w:sz w:val="14"/>
                <w:szCs w:val="20"/>
              </w:rPr>
            </w:pPr>
            <w:r w:rsidRPr="004255D0">
              <w:rPr>
                <w:rFonts w:ascii="Arial" w:hAnsi="Arial" w:cs="Arial"/>
                <w:sz w:val="14"/>
                <w:szCs w:val="20"/>
              </w:rPr>
              <w:t xml:space="preserve">1 </w:t>
            </w:r>
            <w:r w:rsidR="000F3A3F" w:rsidRPr="004255D0">
              <w:rPr>
                <w:rFonts w:ascii="Arial" w:hAnsi="Arial" w:cs="Arial"/>
                <w:sz w:val="14"/>
                <w:szCs w:val="20"/>
              </w:rPr>
              <w:t>original</w:t>
            </w:r>
          </w:p>
          <w:p w14:paraId="6D0EA2CD" w14:textId="51C7425F" w:rsidR="004255D0" w:rsidRPr="004255D0" w:rsidRDefault="004255D0" w:rsidP="00732C30">
            <w:pPr>
              <w:rPr>
                <w:rFonts w:ascii="Arial" w:hAnsi="Arial" w:cs="Arial"/>
                <w:sz w:val="14"/>
                <w:szCs w:val="20"/>
              </w:rPr>
            </w:pPr>
            <w:r w:rsidRPr="004255D0">
              <w:rPr>
                <w:rFonts w:ascii="Arial" w:hAnsi="Arial" w:cs="Arial"/>
                <w:sz w:val="14"/>
                <w:szCs w:val="20"/>
              </w:rPr>
              <w:t xml:space="preserve">1 </w:t>
            </w:r>
            <w:r w:rsidR="000F3A3F" w:rsidRPr="004255D0">
              <w:rPr>
                <w:rFonts w:ascii="Arial" w:hAnsi="Arial" w:cs="Arial"/>
                <w:sz w:val="14"/>
                <w:szCs w:val="20"/>
              </w:rPr>
              <w:t>copia</w:t>
            </w:r>
            <w:r w:rsidRPr="004255D0">
              <w:rPr>
                <w:rFonts w:ascii="Arial" w:hAnsi="Arial" w:cs="Arial"/>
                <w:sz w:val="14"/>
                <w:szCs w:val="20"/>
              </w:rPr>
              <w:t xml:space="preserve"> </w:t>
            </w:r>
          </w:p>
          <w:p w14:paraId="65887BF8" w14:textId="77777777" w:rsidR="004255D0" w:rsidRPr="004255D0" w:rsidRDefault="004255D0" w:rsidP="00732C30">
            <w:pP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hideMark/>
          </w:tcPr>
          <w:p w14:paraId="4008CFB5" w14:textId="77777777" w:rsidR="004255D0" w:rsidRPr="004255D0" w:rsidRDefault="004255D0" w:rsidP="00732C30">
            <w:pPr>
              <w:rPr>
                <w:rFonts w:ascii="Arial" w:hAnsi="Arial" w:cs="Arial"/>
                <w:sz w:val="14"/>
                <w:szCs w:val="20"/>
              </w:rPr>
            </w:pPr>
          </w:p>
          <w:p w14:paraId="2D151AD6" w14:textId="77777777" w:rsidR="004255D0" w:rsidRPr="004255D0" w:rsidRDefault="004255D0" w:rsidP="00732C30">
            <w:pPr>
              <w:rPr>
                <w:rFonts w:ascii="Arial" w:hAnsi="Arial" w:cs="Arial"/>
                <w:sz w:val="14"/>
                <w:szCs w:val="20"/>
              </w:rPr>
            </w:pPr>
            <w:r w:rsidRPr="004255D0">
              <w:rPr>
                <w:rFonts w:ascii="Arial" w:hAnsi="Arial" w:cs="Arial"/>
                <w:sz w:val="14"/>
                <w:szCs w:val="20"/>
              </w:rPr>
              <w:t>Original: 129</w:t>
            </w:r>
          </w:p>
          <w:p w14:paraId="1DB3538B" w14:textId="77777777" w:rsidR="004255D0" w:rsidRPr="004255D0" w:rsidRDefault="004255D0" w:rsidP="00732C30">
            <w:pPr>
              <w:rPr>
                <w:rFonts w:ascii="Arial" w:hAnsi="Arial" w:cs="Arial"/>
                <w:sz w:val="14"/>
                <w:szCs w:val="20"/>
              </w:rPr>
            </w:pPr>
            <w:r w:rsidRPr="004255D0">
              <w:rPr>
                <w:rFonts w:ascii="Arial" w:hAnsi="Arial" w:cs="Arial"/>
                <w:sz w:val="14"/>
                <w:szCs w:val="20"/>
              </w:rPr>
              <w:t>Copia: 129</w:t>
            </w:r>
          </w:p>
          <w:p w14:paraId="0398C022" w14:textId="77777777" w:rsidR="004255D0" w:rsidRPr="004255D0" w:rsidRDefault="004255D0" w:rsidP="00732C30">
            <w:pPr>
              <w:rPr>
                <w:rFonts w:ascii="Arial" w:hAnsi="Arial" w:cs="Arial"/>
                <w:sz w:val="14"/>
                <w:szCs w:val="20"/>
              </w:rPr>
            </w:pPr>
          </w:p>
        </w:tc>
        <w:tc>
          <w:tcPr>
            <w:tcW w:w="1701" w:type="dxa"/>
            <w:tcBorders>
              <w:top w:val="single" w:sz="4" w:space="0" w:color="auto"/>
              <w:left w:val="single" w:sz="4" w:space="0" w:color="auto"/>
              <w:bottom w:val="single" w:sz="4" w:space="0" w:color="auto"/>
              <w:right w:val="single" w:sz="4" w:space="0" w:color="auto"/>
            </w:tcBorders>
          </w:tcPr>
          <w:p w14:paraId="160F9A84" w14:textId="77777777" w:rsidR="004255D0" w:rsidRPr="004255D0" w:rsidRDefault="004255D0" w:rsidP="00732C30">
            <w:pPr>
              <w:rPr>
                <w:rFonts w:ascii="Arial" w:hAnsi="Arial" w:cs="Arial"/>
                <w:sz w:val="14"/>
                <w:szCs w:val="20"/>
              </w:rPr>
            </w:pPr>
          </w:p>
          <w:p w14:paraId="6FA77C56" w14:textId="77777777" w:rsidR="004255D0" w:rsidRPr="004255D0" w:rsidRDefault="004255D0" w:rsidP="00732C30">
            <w:pPr>
              <w:rPr>
                <w:rFonts w:ascii="Arial" w:hAnsi="Arial" w:cs="Arial"/>
                <w:sz w:val="14"/>
                <w:szCs w:val="20"/>
              </w:rPr>
            </w:pPr>
          </w:p>
          <w:p w14:paraId="0759ECE7" w14:textId="77777777" w:rsidR="004255D0" w:rsidRPr="004255D0" w:rsidRDefault="004255D0" w:rsidP="00732C30">
            <w:pPr>
              <w:rPr>
                <w:rFonts w:ascii="Arial" w:hAnsi="Arial" w:cs="Arial"/>
                <w:sz w:val="14"/>
                <w:szCs w:val="20"/>
              </w:rPr>
            </w:pPr>
            <w:r w:rsidRPr="004255D0">
              <w:rPr>
                <w:rFonts w:ascii="Arial" w:hAnsi="Arial" w:cs="Arial"/>
                <w:sz w:val="14"/>
                <w:szCs w:val="20"/>
              </w:rPr>
              <w:t>$ 124.997.600 incluido IVA</w:t>
            </w:r>
          </w:p>
        </w:tc>
        <w:tc>
          <w:tcPr>
            <w:tcW w:w="1418" w:type="dxa"/>
            <w:tcBorders>
              <w:top w:val="single" w:sz="4" w:space="0" w:color="auto"/>
              <w:left w:val="single" w:sz="4" w:space="0" w:color="auto"/>
              <w:bottom w:val="single" w:sz="4" w:space="0" w:color="auto"/>
              <w:right w:val="single" w:sz="4" w:space="0" w:color="auto"/>
            </w:tcBorders>
          </w:tcPr>
          <w:p w14:paraId="1FE1FE8F" w14:textId="77777777" w:rsidR="004255D0" w:rsidRPr="004255D0" w:rsidRDefault="004255D0" w:rsidP="00732C30">
            <w:pPr>
              <w:rPr>
                <w:rFonts w:ascii="Arial" w:hAnsi="Arial" w:cs="Arial"/>
                <w:sz w:val="14"/>
                <w:szCs w:val="20"/>
              </w:rPr>
            </w:pPr>
            <w:r w:rsidRPr="004255D0">
              <w:rPr>
                <w:rFonts w:ascii="Arial" w:hAnsi="Arial" w:cs="Arial"/>
                <w:sz w:val="14"/>
                <w:szCs w:val="20"/>
              </w:rPr>
              <w:t>21-45-101366005</w:t>
            </w:r>
          </w:p>
          <w:p w14:paraId="3BEF86F8" w14:textId="77777777" w:rsidR="004255D0" w:rsidRPr="004255D0" w:rsidRDefault="004255D0" w:rsidP="00732C30">
            <w:pPr>
              <w:rPr>
                <w:rFonts w:ascii="Arial" w:hAnsi="Arial" w:cs="Arial"/>
                <w:sz w:val="14"/>
                <w:szCs w:val="20"/>
              </w:rPr>
            </w:pPr>
          </w:p>
          <w:p w14:paraId="6F19BBD2" w14:textId="77777777" w:rsidR="004255D0" w:rsidRPr="004255D0" w:rsidRDefault="004255D0" w:rsidP="00732C30">
            <w:pPr>
              <w:rPr>
                <w:rFonts w:ascii="Arial" w:hAnsi="Arial" w:cs="Arial"/>
                <w:sz w:val="14"/>
                <w:szCs w:val="20"/>
              </w:rPr>
            </w:pPr>
            <w:r w:rsidRPr="004255D0">
              <w:rPr>
                <w:rFonts w:ascii="Arial" w:hAnsi="Arial" w:cs="Arial"/>
                <w:sz w:val="14"/>
                <w:szCs w:val="20"/>
              </w:rPr>
              <w:t>Seguros del Estado SA</w:t>
            </w:r>
          </w:p>
          <w:p w14:paraId="49475E6D" w14:textId="77777777" w:rsidR="004255D0" w:rsidRPr="004255D0" w:rsidRDefault="004255D0" w:rsidP="00732C30">
            <w:pPr>
              <w:rPr>
                <w:rFonts w:ascii="Arial" w:hAnsi="Arial" w:cs="Arial"/>
                <w:sz w:val="14"/>
                <w:szCs w:val="20"/>
              </w:rPr>
            </w:pPr>
          </w:p>
          <w:p w14:paraId="51FE4E3E" w14:textId="77777777" w:rsidR="004255D0" w:rsidRPr="004255D0" w:rsidRDefault="004255D0" w:rsidP="00732C30">
            <w:pPr>
              <w:rPr>
                <w:rFonts w:ascii="Arial" w:hAnsi="Arial" w:cs="Arial"/>
                <w:sz w:val="14"/>
                <w:szCs w:val="20"/>
              </w:rPr>
            </w:pPr>
            <w:r w:rsidRPr="004255D0">
              <w:rPr>
                <w:rFonts w:ascii="Arial" w:hAnsi="Arial" w:cs="Arial"/>
                <w:sz w:val="14"/>
                <w:szCs w:val="20"/>
              </w:rPr>
              <w:t>$ 12.</w:t>
            </w:r>
            <w:proofErr w:type="gramStart"/>
            <w:r w:rsidRPr="004255D0">
              <w:rPr>
                <w:rFonts w:ascii="Arial" w:hAnsi="Arial" w:cs="Arial"/>
                <w:sz w:val="14"/>
                <w:szCs w:val="20"/>
              </w:rPr>
              <w:t>604.610.oo</w:t>
            </w:r>
            <w:proofErr w:type="gramEnd"/>
          </w:p>
        </w:tc>
      </w:tr>
    </w:tbl>
    <w:p w14:paraId="7732F508"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78EF3022" w14:textId="67F055F2" w:rsidR="004E6747" w:rsidRPr="0003762F" w:rsidRDefault="004E6747" w:rsidP="004E6747">
      <w:pPr>
        <w:jc w:val="both"/>
        <w:rPr>
          <w:rFonts w:ascii="Arial" w:hAnsi="Arial" w:cs="Arial"/>
          <w:i/>
          <w:color w:val="000000"/>
          <w:sz w:val="18"/>
          <w:szCs w:val="20"/>
          <w:lang w:val="es-CO"/>
        </w:rPr>
      </w:pPr>
      <w:r w:rsidRPr="0003762F">
        <w:rPr>
          <w:rFonts w:ascii="Arial" w:eastAsia="Batang" w:hAnsi="Arial" w:cs="Arial"/>
          <w:sz w:val="18"/>
          <w:szCs w:val="20"/>
        </w:rPr>
        <w:t xml:space="preserve">Que durante el </w:t>
      </w:r>
      <w:r w:rsidRPr="0003762F">
        <w:rPr>
          <w:rFonts w:ascii="Arial" w:eastAsia="Batang" w:hAnsi="Arial" w:cs="Arial"/>
          <w:color w:val="000000"/>
          <w:sz w:val="18"/>
          <w:szCs w:val="20"/>
        </w:rPr>
        <w:t xml:space="preserve">periodo de evaluación de la oferta se determinó que la propuesta NO CUMPLIÓ con </w:t>
      </w:r>
      <w:r w:rsidR="00705BEE" w:rsidRPr="0003762F">
        <w:rPr>
          <w:rFonts w:ascii="Arial" w:eastAsia="Batang" w:hAnsi="Arial" w:cs="Arial"/>
          <w:color w:val="000000"/>
          <w:sz w:val="18"/>
          <w:szCs w:val="20"/>
        </w:rPr>
        <w:t xml:space="preserve">Evaluación </w:t>
      </w:r>
      <w:r w:rsidR="00086681">
        <w:rPr>
          <w:rFonts w:ascii="Arial" w:eastAsia="Batang" w:hAnsi="Arial" w:cs="Arial"/>
          <w:color w:val="000000"/>
          <w:sz w:val="18"/>
          <w:szCs w:val="20"/>
        </w:rPr>
        <w:t>Financiera</w:t>
      </w:r>
      <w:r w:rsidRPr="0003762F">
        <w:rPr>
          <w:rFonts w:ascii="Arial" w:eastAsia="Batang" w:hAnsi="Arial" w:cs="Arial"/>
          <w:color w:val="000000"/>
          <w:sz w:val="18"/>
          <w:szCs w:val="20"/>
        </w:rPr>
        <w:t xml:space="preserve">, generando la obligación para la Empresa de Licores de Cundinamarca de expedir el acto de declaratoria de desierta del proceso contractual, de conformidad lo establecido en el numeral 5 de la invitación abierta No. </w:t>
      </w:r>
      <w:r w:rsidR="00086681">
        <w:rPr>
          <w:rFonts w:ascii="Arial" w:eastAsia="Batang" w:hAnsi="Arial" w:cs="Arial"/>
          <w:color w:val="000000"/>
          <w:sz w:val="18"/>
          <w:szCs w:val="20"/>
        </w:rPr>
        <w:t>011 de 2022</w:t>
      </w:r>
      <w:r w:rsidRPr="0003762F">
        <w:rPr>
          <w:rFonts w:ascii="Arial" w:eastAsia="Batang" w:hAnsi="Arial" w:cs="Arial"/>
          <w:color w:val="000000"/>
          <w:sz w:val="18"/>
          <w:szCs w:val="20"/>
        </w:rPr>
        <w:t>“</w:t>
      </w:r>
      <w:r w:rsidRPr="0003762F">
        <w:rPr>
          <w:rFonts w:ascii="Arial" w:hAnsi="Arial" w:cs="Arial"/>
          <w:b/>
          <w:i/>
          <w:color w:val="000000"/>
          <w:sz w:val="18"/>
          <w:szCs w:val="20"/>
          <w:lang w:val="es-ES"/>
        </w:rPr>
        <w:t>CAUSALES DE RECHAZO DE LAS OFERTAS (</w:t>
      </w:r>
      <w:r w:rsidRPr="0003762F">
        <w:rPr>
          <w:rFonts w:ascii="Arial" w:hAnsi="Arial" w:cs="Arial"/>
          <w:i/>
          <w:color w:val="000000"/>
          <w:sz w:val="18"/>
          <w:szCs w:val="20"/>
          <w:lang w:val="es-ES"/>
        </w:rPr>
        <w:t>…) No. 1</w:t>
      </w:r>
      <w:r w:rsidR="00086681">
        <w:rPr>
          <w:rFonts w:ascii="Arial" w:hAnsi="Arial" w:cs="Arial"/>
          <w:i/>
          <w:color w:val="000000"/>
          <w:sz w:val="18"/>
          <w:szCs w:val="20"/>
          <w:lang w:val="es-ES"/>
        </w:rPr>
        <w:t>6</w:t>
      </w:r>
      <w:r w:rsidRPr="0003762F">
        <w:rPr>
          <w:rFonts w:ascii="Arial" w:hAnsi="Arial" w:cs="Arial"/>
          <w:b/>
          <w:i/>
          <w:color w:val="000000"/>
          <w:sz w:val="18"/>
          <w:szCs w:val="20"/>
          <w:lang w:val="es-ES"/>
        </w:rPr>
        <w:t xml:space="preserve"> </w:t>
      </w:r>
      <w:r w:rsidR="000F3A3F" w:rsidRPr="000F3A3F">
        <w:rPr>
          <w:rFonts w:ascii="Arial" w:hAnsi="Arial" w:cs="Arial"/>
          <w:i/>
          <w:color w:val="000000"/>
          <w:sz w:val="18"/>
          <w:szCs w:val="20"/>
          <w:lang w:val="es-CO"/>
        </w:rPr>
        <w:t xml:space="preserve">Cuando el OFERENTE </w:t>
      </w:r>
      <w:r w:rsidR="000F3A3F" w:rsidRPr="000F3A3F">
        <w:rPr>
          <w:rFonts w:ascii="Arial" w:hAnsi="Arial" w:cs="Arial"/>
          <w:i/>
          <w:color w:val="000000"/>
          <w:sz w:val="18"/>
          <w:szCs w:val="20"/>
          <w:lang w:val="es-CO"/>
        </w:rPr>
        <w:lastRenderedPageBreak/>
        <w:t>sea declarado como NO CUMPLE en alguno de los aspectos jurídicos, financieros, económicos o técnicos de verificación de la OFERTA Y que lo mismos no sean SUBSANABLES</w:t>
      </w:r>
      <w:r w:rsidR="004F65FE" w:rsidRPr="0003762F">
        <w:rPr>
          <w:rFonts w:ascii="Arial" w:hAnsi="Arial" w:cs="Arial"/>
          <w:i/>
          <w:color w:val="000000"/>
          <w:sz w:val="18"/>
          <w:szCs w:val="20"/>
          <w:lang w:val="es-CO"/>
        </w:rPr>
        <w:t>.</w:t>
      </w:r>
    </w:p>
    <w:p w14:paraId="0B168EDA" w14:textId="77777777"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 </w:t>
      </w:r>
    </w:p>
    <w:p w14:paraId="7B72F677" w14:textId="2B8163BD"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Conforme a lo anterior el comité procedió a realizar la recomendación de </w:t>
      </w:r>
      <w:r w:rsidRPr="0003762F">
        <w:rPr>
          <w:rFonts w:ascii="Arial" w:eastAsia="Batang" w:hAnsi="Arial" w:cs="Arial"/>
          <w:b/>
          <w:color w:val="000000"/>
          <w:sz w:val="18"/>
          <w:szCs w:val="20"/>
        </w:rPr>
        <w:t>DECLARATORIA DE DESIERTA</w:t>
      </w:r>
      <w:r w:rsidRPr="0003762F">
        <w:rPr>
          <w:rFonts w:ascii="Arial" w:eastAsia="Batang" w:hAnsi="Arial" w:cs="Arial"/>
          <w:color w:val="000000"/>
          <w:sz w:val="18"/>
          <w:szCs w:val="20"/>
        </w:rPr>
        <w:t xml:space="preserve"> a la Invitación Abierta No. </w:t>
      </w:r>
      <w:r w:rsidR="00086681">
        <w:rPr>
          <w:rFonts w:ascii="Arial" w:eastAsia="Batang" w:hAnsi="Arial" w:cs="Arial"/>
          <w:color w:val="000000"/>
          <w:sz w:val="18"/>
          <w:szCs w:val="20"/>
        </w:rPr>
        <w:t>011 de 2022</w:t>
      </w:r>
      <w:r w:rsidRPr="0003762F">
        <w:rPr>
          <w:rFonts w:ascii="Arial" w:eastAsia="Batang" w:hAnsi="Arial" w:cs="Arial"/>
          <w:color w:val="000000"/>
          <w:sz w:val="18"/>
          <w:szCs w:val="20"/>
        </w:rPr>
        <w:t>.</w:t>
      </w:r>
    </w:p>
    <w:p w14:paraId="0466390E"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60A79172"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Por lo anterior el Gerente General de la Empresa de Licores de Cundinamarca resuelve acoger la recomendación del Comité Evaluador y </w:t>
      </w:r>
    </w:p>
    <w:p w14:paraId="1783A792"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30C047C2"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RESUELVE:</w:t>
      </w:r>
    </w:p>
    <w:p w14:paraId="5B8DAE6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14:paraId="65685F7C" w14:textId="23C21242"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r w:rsidRPr="0003762F">
        <w:rPr>
          <w:rFonts w:ascii="Arial" w:eastAsia="Batang" w:hAnsi="Arial" w:cs="Arial"/>
          <w:b/>
          <w:bCs/>
          <w:sz w:val="18"/>
          <w:szCs w:val="20"/>
        </w:rPr>
        <w:t xml:space="preserve">ARTÍCULO PRIMERO: </w:t>
      </w:r>
      <w:r w:rsidRPr="0003762F">
        <w:rPr>
          <w:rFonts w:ascii="Arial" w:eastAsia="Batang" w:hAnsi="Arial" w:cs="Arial"/>
          <w:sz w:val="18"/>
          <w:szCs w:val="20"/>
        </w:rPr>
        <w:t xml:space="preserve">Declarar Desierto el proceso de Invitación Abierta No. </w:t>
      </w:r>
      <w:r w:rsidR="00086681">
        <w:rPr>
          <w:rFonts w:ascii="Arial" w:eastAsia="Batang" w:hAnsi="Arial" w:cs="Arial"/>
          <w:sz w:val="18"/>
          <w:szCs w:val="20"/>
        </w:rPr>
        <w:t>011 de 2022</w:t>
      </w:r>
      <w:r w:rsidRPr="0003762F">
        <w:rPr>
          <w:rFonts w:ascii="Arial" w:eastAsia="Batang" w:hAnsi="Arial" w:cs="Arial"/>
          <w:sz w:val="18"/>
          <w:szCs w:val="20"/>
        </w:rPr>
        <w:t xml:space="preserve"> cuyo objeto es la: “</w:t>
      </w:r>
      <w:r w:rsidR="00086681" w:rsidRPr="00086681">
        <w:rPr>
          <w:rFonts w:ascii="Arial" w:hAnsi="Arial" w:cs="Arial"/>
          <w:b/>
          <w:sz w:val="18"/>
          <w:szCs w:val="20"/>
          <w:lang w:val="es-CO"/>
        </w:rPr>
        <w:t>CONTRATAR LA COMPRA E INSTALACIÓN DE PLATAFORMAS DE INGRESO OPERACIONAL A LAS LÍNEAS DE PRODUCCIÓN L1YL2 -L8YL9</w:t>
      </w:r>
      <w:r w:rsidRPr="0003762F">
        <w:rPr>
          <w:rFonts w:ascii="Arial" w:eastAsia="Batang" w:hAnsi="Arial" w:cs="Arial"/>
          <w:sz w:val="18"/>
          <w:szCs w:val="20"/>
        </w:rPr>
        <w:t>”</w:t>
      </w:r>
      <w:r w:rsidRPr="0003762F">
        <w:rPr>
          <w:rFonts w:ascii="Arial" w:eastAsia="Batang" w:hAnsi="Arial" w:cs="Arial"/>
          <w:i/>
          <w:iCs/>
          <w:sz w:val="18"/>
          <w:szCs w:val="20"/>
        </w:rPr>
        <w:t>.</w:t>
      </w:r>
    </w:p>
    <w:p w14:paraId="70240F7B" w14:textId="77777777"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p>
    <w:p w14:paraId="3272D00E" w14:textId="07961434"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SEGUNDO: </w:t>
      </w:r>
      <w:r w:rsidRPr="0003762F">
        <w:rPr>
          <w:rFonts w:ascii="Arial" w:eastAsia="Batang" w:hAnsi="Arial" w:cs="Arial"/>
          <w:sz w:val="18"/>
          <w:szCs w:val="20"/>
        </w:rPr>
        <w:t>Ordénese adelantar un nuevo proceso de contratación para satisfacer la necesidad de la Empresa de Licores de Cundinamarca con el fin de desarrollar el objeto del proceso de Invitación Abierta No.</w:t>
      </w:r>
      <w:r w:rsidR="00086681">
        <w:rPr>
          <w:rFonts w:ascii="Arial" w:eastAsia="Batang" w:hAnsi="Arial" w:cs="Arial"/>
          <w:sz w:val="18"/>
          <w:szCs w:val="20"/>
        </w:rPr>
        <w:t>011 de 2022</w:t>
      </w:r>
      <w:r w:rsidRPr="0003762F">
        <w:rPr>
          <w:rFonts w:ascii="Arial" w:eastAsia="Batang" w:hAnsi="Arial" w:cs="Arial"/>
          <w:sz w:val="18"/>
          <w:szCs w:val="20"/>
        </w:rPr>
        <w:t>, siendo procedente el ajuste o la modificación del estudio y los documentos previos, siempre que garanticen el objeto requerido por la Empresa de Licores de Cundinamarca</w:t>
      </w:r>
    </w:p>
    <w:p w14:paraId="79A471FD"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34B5ED00"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ARTICULO TERCERO: </w:t>
      </w:r>
      <w:r w:rsidRPr="0003762F">
        <w:rPr>
          <w:rFonts w:ascii="Arial" w:eastAsia="Batang" w:hAnsi="Arial" w:cs="Arial"/>
          <w:sz w:val="18"/>
          <w:szCs w:val="20"/>
        </w:rPr>
        <w:t>Ordenar la publicación del presente acto administrativo en la página WEB de la Empresa de Licores de Cundinamarca.</w:t>
      </w:r>
    </w:p>
    <w:p w14:paraId="4251D6AB"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58A52467"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CUARTO: </w:t>
      </w:r>
      <w:r w:rsidRPr="0003762F">
        <w:rPr>
          <w:rFonts w:ascii="Arial" w:eastAsia="Batang" w:hAnsi="Arial" w:cs="Arial"/>
          <w:sz w:val="18"/>
          <w:szCs w:val="20"/>
        </w:rPr>
        <w:t>Contra el presente Acto Administrativo procede recurso de reposición en los términos del Código Contencioso Administrativo y de acuerdo con lo establecido en el artículo 77 de la ley 80 de 1993.</w:t>
      </w:r>
    </w:p>
    <w:p w14:paraId="52726BCB"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0A9E2590"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QUINTO: </w:t>
      </w:r>
      <w:r w:rsidRPr="0003762F">
        <w:rPr>
          <w:rFonts w:ascii="Arial" w:eastAsia="Batang" w:hAnsi="Arial" w:cs="Arial"/>
          <w:sz w:val="18"/>
          <w:szCs w:val="20"/>
        </w:rPr>
        <w:t>El presente acto Administrativo rige a partir de la fecha de su expedición.</w:t>
      </w:r>
    </w:p>
    <w:p w14:paraId="7013BE7B" w14:textId="79D0FBA3" w:rsidR="004E6747" w:rsidRDefault="004E6747" w:rsidP="004E6747">
      <w:pPr>
        <w:overflowPunct w:val="0"/>
        <w:autoSpaceDE w:val="0"/>
        <w:autoSpaceDN w:val="0"/>
        <w:adjustRightInd w:val="0"/>
        <w:jc w:val="both"/>
        <w:textAlignment w:val="baseline"/>
        <w:rPr>
          <w:rFonts w:ascii="Arial" w:eastAsia="Batang" w:hAnsi="Arial" w:cs="Arial"/>
          <w:sz w:val="18"/>
          <w:szCs w:val="20"/>
        </w:rPr>
      </w:pPr>
    </w:p>
    <w:p w14:paraId="615292F9" w14:textId="77777777" w:rsidR="00086681" w:rsidRPr="0003762F" w:rsidRDefault="00086681" w:rsidP="004E6747">
      <w:pPr>
        <w:overflowPunct w:val="0"/>
        <w:autoSpaceDE w:val="0"/>
        <w:autoSpaceDN w:val="0"/>
        <w:adjustRightInd w:val="0"/>
        <w:jc w:val="both"/>
        <w:textAlignment w:val="baseline"/>
        <w:rPr>
          <w:rFonts w:ascii="Arial" w:eastAsia="Batang" w:hAnsi="Arial" w:cs="Arial"/>
          <w:sz w:val="18"/>
          <w:szCs w:val="20"/>
        </w:rPr>
      </w:pPr>
    </w:p>
    <w:p w14:paraId="407F653A" w14:textId="3C331EBE"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Dada en la Empresa de Licores de Cundinamarca, a los </w:t>
      </w:r>
      <w:r w:rsidR="00086681">
        <w:rPr>
          <w:rFonts w:ascii="Arial" w:eastAsia="Batang" w:hAnsi="Arial" w:cs="Arial"/>
          <w:sz w:val="18"/>
          <w:szCs w:val="20"/>
        </w:rPr>
        <w:t>06</w:t>
      </w:r>
      <w:r w:rsidR="00D80B8E" w:rsidRPr="0003762F">
        <w:rPr>
          <w:rFonts w:ascii="Arial" w:eastAsia="Batang" w:hAnsi="Arial" w:cs="Arial"/>
          <w:sz w:val="18"/>
          <w:szCs w:val="20"/>
        </w:rPr>
        <w:t xml:space="preserve"> días</w:t>
      </w:r>
      <w:r w:rsidRPr="0003762F">
        <w:rPr>
          <w:rFonts w:ascii="Arial" w:eastAsia="Batang" w:hAnsi="Arial" w:cs="Arial"/>
          <w:sz w:val="18"/>
          <w:szCs w:val="20"/>
        </w:rPr>
        <w:t xml:space="preserve"> del mes de </w:t>
      </w:r>
      <w:proofErr w:type="gramStart"/>
      <w:r w:rsidR="00086681">
        <w:rPr>
          <w:rFonts w:ascii="Arial" w:eastAsia="Batang" w:hAnsi="Arial" w:cs="Arial"/>
          <w:sz w:val="18"/>
          <w:szCs w:val="20"/>
        </w:rPr>
        <w:t>Abril</w:t>
      </w:r>
      <w:proofErr w:type="gramEnd"/>
      <w:r w:rsidRPr="0003762F">
        <w:rPr>
          <w:rFonts w:ascii="Arial" w:eastAsia="Batang" w:hAnsi="Arial" w:cs="Arial"/>
          <w:sz w:val="18"/>
          <w:szCs w:val="20"/>
        </w:rPr>
        <w:t xml:space="preserve"> </w:t>
      </w:r>
      <w:r w:rsidR="00D80B8E" w:rsidRPr="0003762F">
        <w:rPr>
          <w:rFonts w:ascii="Arial" w:eastAsia="Batang" w:hAnsi="Arial" w:cs="Arial"/>
          <w:sz w:val="18"/>
          <w:szCs w:val="20"/>
        </w:rPr>
        <w:t>de 202</w:t>
      </w:r>
      <w:r w:rsidR="000F3A3F">
        <w:rPr>
          <w:rFonts w:ascii="Arial" w:eastAsia="Batang" w:hAnsi="Arial" w:cs="Arial"/>
          <w:sz w:val="18"/>
          <w:szCs w:val="20"/>
        </w:rPr>
        <w:t>2</w:t>
      </w:r>
    </w:p>
    <w:p w14:paraId="725B3550" w14:textId="37DD56EA" w:rsidR="004E6747" w:rsidRDefault="004E6747" w:rsidP="004E6747">
      <w:pPr>
        <w:overflowPunct w:val="0"/>
        <w:autoSpaceDE w:val="0"/>
        <w:autoSpaceDN w:val="0"/>
        <w:adjustRightInd w:val="0"/>
        <w:jc w:val="both"/>
        <w:textAlignment w:val="baseline"/>
        <w:rPr>
          <w:rFonts w:ascii="Arial" w:eastAsia="Batang" w:hAnsi="Arial" w:cs="Arial"/>
          <w:sz w:val="18"/>
          <w:szCs w:val="20"/>
        </w:rPr>
      </w:pPr>
    </w:p>
    <w:p w14:paraId="415C1D88" w14:textId="77777777" w:rsidR="00086681" w:rsidRPr="0003762F" w:rsidRDefault="00086681" w:rsidP="004E6747">
      <w:pPr>
        <w:overflowPunct w:val="0"/>
        <w:autoSpaceDE w:val="0"/>
        <w:autoSpaceDN w:val="0"/>
        <w:adjustRightInd w:val="0"/>
        <w:jc w:val="both"/>
        <w:textAlignment w:val="baseline"/>
        <w:rPr>
          <w:rFonts w:ascii="Arial" w:eastAsia="Batang" w:hAnsi="Arial" w:cs="Arial"/>
          <w:sz w:val="18"/>
          <w:szCs w:val="20"/>
        </w:rPr>
      </w:pPr>
    </w:p>
    <w:p w14:paraId="301936B3"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PUBLÍQUESE, COMUNÍQUESE Y CÚMPLASE</w:t>
      </w:r>
    </w:p>
    <w:p w14:paraId="5254359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14:paraId="03989D0E" w14:textId="77777777" w:rsidR="00D80B8E" w:rsidRDefault="00D80B8E" w:rsidP="004E6747">
      <w:pPr>
        <w:overflowPunct w:val="0"/>
        <w:autoSpaceDE w:val="0"/>
        <w:autoSpaceDN w:val="0"/>
        <w:adjustRightInd w:val="0"/>
        <w:jc w:val="center"/>
        <w:textAlignment w:val="baseline"/>
        <w:rPr>
          <w:rFonts w:ascii="Arial" w:eastAsia="Batang" w:hAnsi="Arial" w:cs="Arial"/>
          <w:b/>
          <w:bCs/>
          <w:sz w:val="18"/>
          <w:szCs w:val="20"/>
        </w:rPr>
      </w:pPr>
    </w:p>
    <w:p w14:paraId="10CDC23C" w14:textId="05E5D209" w:rsidR="0003762F" w:rsidRDefault="0003762F" w:rsidP="004E6747">
      <w:pPr>
        <w:overflowPunct w:val="0"/>
        <w:autoSpaceDE w:val="0"/>
        <w:autoSpaceDN w:val="0"/>
        <w:adjustRightInd w:val="0"/>
        <w:jc w:val="center"/>
        <w:textAlignment w:val="baseline"/>
        <w:rPr>
          <w:rFonts w:ascii="Arial" w:eastAsia="Batang" w:hAnsi="Arial" w:cs="Arial"/>
          <w:b/>
          <w:bCs/>
          <w:sz w:val="18"/>
          <w:szCs w:val="20"/>
        </w:rPr>
      </w:pPr>
    </w:p>
    <w:p w14:paraId="5CB75EC3" w14:textId="77777777" w:rsidR="00086681" w:rsidRPr="0003762F" w:rsidRDefault="00086681" w:rsidP="004E6747">
      <w:pPr>
        <w:overflowPunct w:val="0"/>
        <w:autoSpaceDE w:val="0"/>
        <w:autoSpaceDN w:val="0"/>
        <w:adjustRightInd w:val="0"/>
        <w:jc w:val="center"/>
        <w:textAlignment w:val="baseline"/>
        <w:rPr>
          <w:rFonts w:ascii="Arial" w:eastAsia="Batang" w:hAnsi="Arial" w:cs="Arial"/>
          <w:b/>
          <w:bCs/>
          <w:sz w:val="18"/>
          <w:szCs w:val="20"/>
        </w:rPr>
      </w:pPr>
    </w:p>
    <w:p w14:paraId="40A1285A" w14:textId="17761131" w:rsidR="004E6747" w:rsidRPr="0003762F" w:rsidRDefault="0088738D" w:rsidP="004E6747">
      <w:pPr>
        <w:overflowPunct w:val="0"/>
        <w:autoSpaceDE w:val="0"/>
        <w:autoSpaceDN w:val="0"/>
        <w:adjustRightInd w:val="0"/>
        <w:jc w:val="center"/>
        <w:textAlignment w:val="baseline"/>
        <w:rPr>
          <w:rFonts w:ascii="Arial" w:eastAsia="Batang" w:hAnsi="Arial" w:cs="Arial"/>
          <w:bCs/>
          <w:sz w:val="18"/>
          <w:szCs w:val="20"/>
        </w:rPr>
      </w:pPr>
      <w:r>
        <w:rPr>
          <w:rFonts w:ascii="Arial" w:eastAsia="Batang" w:hAnsi="Arial" w:cs="Arial"/>
          <w:bCs/>
          <w:sz w:val="18"/>
          <w:szCs w:val="20"/>
        </w:rPr>
        <w:t>(ORIGINAL FIRMADO)</w:t>
      </w:r>
    </w:p>
    <w:p w14:paraId="0195D326" w14:textId="77777777" w:rsidR="004E6747" w:rsidRPr="0003762F" w:rsidRDefault="004E6747" w:rsidP="004E6747">
      <w:pPr>
        <w:jc w:val="center"/>
        <w:rPr>
          <w:rFonts w:ascii="Arial" w:hAnsi="Arial" w:cs="Arial"/>
          <w:b/>
          <w:bCs/>
          <w:sz w:val="18"/>
          <w:szCs w:val="20"/>
          <w:lang w:val="es-CO"/>
        </w:rPr>
      </w:pPr>
      <w:r w:rsidRPr="0003762F">
        <w:rPr>
          <w:rFonts w:ascii="Arial" w:hAnsi="Arial" w:cs="Arial"/>
          <w:b/>
          <w:bCs/>
          <w:sz w:val="18"/>
          <w:szCs w:val="20"/>
          <w:lang w:val="es-CO"/>
        </w:rPr>
        <w:t>JORGE ENRIQUE MACHUCA LÓPEZ</w:t>
      </w:r>
    </w:p>
    <w:p w14:paraId="6BD21319" w14:textId="01BB413A" w:rsidR="004E6747" w:rsidRDefault="004E6747" w:rsidP="004E6747">
      <w:pPr>
        <w:jc w:val="center"/>
        <w:rPr>
          <w:rFonts w:ascii="Arial" w:hAnsi="Arial" w:cs="Arial"/>
          <w:bCs/>
          <w:sz w:val="18"/>
          <w:szCs w:val="20"/>
          <w:lang w:val="es-CO"/>
        </w:rPr>
      </w:pPr>
      <w:r w:rsidRPr="0003762F">
        <w:rPr>
          <w:rFonts w:ascii="Arial" w:hAnsi="Arial" w:cs="Arial"/>
          <w:bCs/>
          <w:sz w:val="18"/>
          <w:szCs w:val="20"/>
          <w:lang w:val="es-CO"/>
        </w:rPr>
        <w:t>Gerente General</w:t>
      </w:r>
    </w:p>
    <w:p w14:paraId="07C1EE25" w14:textId="35D9AB08" w:rsidR="00086681" w:rsidRDefault="00086681" w:rsidP="004E6747">
      <w:pPr>
        <w:jc w:val="center"/>
        <w:rPr>
          <w:rFonts w:ascii="Arial" w:hAnsi="Arial" w:cs="Arial"/>
          <w:bCs/>
          <w:sz w:val="18"/>
          <w:szCs w:val="20"/>
          <w:lang w:val="es-CO"/>
        </w:rPr>
      </w:pPr>
    </w:p>
    <w:p w14:paraId="7A83151B" w14:textId="77777777" w:rsidR="00086681" w:rsidRPr="0003762F" w:rsidRDefault="00086681" w:rsidP="004E6747">
      <w:pPr>
        <w:jc w:val="center"/>
        <w:rPr>
          <w:rFonts w:ascii="Arial" w:hAnsi="Arial" w:cs="Arial"/>
          <w:sz w:val="18"/>
          <w:szCs w:val="20"/>
          <w:lang w:val="es-CO"/>
        </w:rPr>
      </w:pPr>
    </w:p>
    <w:p w14:paraId="75338C0F" w14:textId="77777777" w:rsidR="00D80B8E" w:rsidRPr="0003762F" w:rsidRDefault="00D80B8E" w:rsidP="00D80B8E">
      <w:pPr>
        <w:widowControl w:val="0"/>
        <w:suppressAutoHyphens/>
        <w:rPr>
          <w:rFonts w:ascii="Arial" w:eastAsia="Arial Unicode MS" w:hAnsi="Arial" w:cs="Arial"/>
          <w:bCs/>
          <w:sz w:val="10"/>
          <w:szCs w:val="22"/>
          <w:lang w:val="es-CO" w:eastAsia="ar-SA"/>
        </w:rPr>
      </w:pPr>
    </w:p>
    <w:p w14:paraId="55910911" w14:textId="5A6E8681" w:rsidR="00D80B8E" w:rsidRPr="0003762F" w:rsidRDefault="00D80B8E" w:rsidP="00D80B8E">
      <w:pPr>
        <w:widowControl w:val="0"/>
        <w:suppressAutoHyphens/>
        <w:rPr>
          <w:rFonts w:ascii="Arial" w:eastAsia="Arial Unicode MS" w:hAnsi="Arial" w:cs="Arial"/>
          <w:b/>
          <w:sz w:val="10"/>
          <w:szCs w:val="22"/>
          <w:lang w:val="es-CO" w:eastAsia="ar-SA"/>
        </w:rPr>
      </w:pPr>
      <w:r w:rsidRPr="0003762F">
        <w:rPr>
          <w:rFonts w:ascii="Arial" w:eastAsia="Tahoma" w:hAnsi="Arial" w:cs="Arial"/>
          <w:b/>
          <w:bCs/>
          <w:sz w:val="10"/>
          <w:szCs w:val="22"/>
          <w:lang w:val="es-ES" w:eastAsia="ar-SA"/>
        </w:rPr>
        <w:t xml:space="preserve">Vo. Bo. </w:t>
      </w:r>
      <w:r w:rsidR="00086681">
        <w:rPr>
          <w:rFonts w:ascii="Arial" w:eastAsia="Arial Unicode MS" w:hAnsi="Arial" w:cs="Arial"/>
          <w:b/>
          <w:sz w:val="10"/>
          <w:szCs w:val="22"/>
          <w:lang w:val="es-CO" w:eastAsia="ar-SA"/>
        </w:rPr>
        <w:t>SANDRA MILENA CUBILLOS GONZALEZ</w:t>
      </w:r>
    </w:p>
    <w:p w14:paraId="3A9AF578" w14:textId="59465252" w:rsidR="003C2343" w:rsidRDefault="00D80B8E" w:rsidP="00086681">
      <w:pPr>
        <w:widowControl w:val="0"/>
        <w:suppressAutoHyphens/>
        <w:spacing w:after="120"/>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 xml:space="preserve">             Jefe Oficina Asesora Jurídica y Contratación</w:t>
      </w:r>
    </w:p>
    <w:p w14:paraId="65C7BFBA" w14:textId="435E66D7" w:rsidR="00D80B8E" w:rsidRPr="0003762F" w:rsidRDefault="00D80B8E" w:rsidP="00086681">
      <w:pPr>
        <w:widowControl w:val="0"/>
        <w:suppressAutoHyphens/>
        <w:rPr>
          <w:rFonts w:ascii="Arial" w:eastAsia="Arial Unicode MS" w:hAnsi="Arial" w:cs="Arial"/>
          <w:b/>
          <w:sz w:val="10"/>
          <w:szCs w:val="22"/>
          <w:lang w:val="es-ES" w:eastAsia="ar-SA"/>
        </w:rPr>
      </w:pPr>
      <w:r w:rsidRPr="0003762F">
        <w:rPr>
          <w:rFonts w:ascii="Arial" w:eastAsia="Arial Unicode MS" w:hAnsi="Arial" w:cs="Arial"/>
          <w:b/>
          <w:sz w:val="10"/>
          <w:szCs w:val="22"/>
          <w:lang w:val="es-CO" w:eastAsia="ar-SA"/>
        </w:rPr>
        <w:t xml:space="preserve">Vo. Bo. </w:t>
      </w:r>
      <w:r w:rsidR="00086681" w:rsidRPr="00086681">
        <w:rPr>
          <w:rFonts w:ascii="Arial" w:eastAsia="Arial Unicode MS" w:hAnsi="Arial" w:cs="Arial"/>
          <w:b/>
          <w:sz w:val="10"/>
          <w:szCs w:val="22"/>
          <w:lang w:val="es-ES" w:eastAsia="ar-SA"/>
        </w:rPr>
        <w:t>JORGE RICARDO ROMERO FLORIDO</w:t>
      </w:r>
    </w:p>
    <w:p w14:paraId="7CC53654" w14:textId="179C1109" w:rsidR="003C2343" w:rsidRPr="00086681" w:rsidRDefault="00D80B8E" w:rsidP="00086681">
      <w:pPr>
        <w:widowControl w:val="0"/>
        <w:suppressAutoHyphens/>
        <w:spacing w:after="120"/>
        <w:rPr>
          <w:rFonts w:ascii="Arial" w:eastAsia="Arial Unicode MS" w:hAnsi="Arial" w:cs="Arial"/>
          <w:sz w:val="10"/>
          <w:szCs w:val="22"/>
          <w:lang w:val="es-ES" w:eastAsia="ar-SA"/>
        </w:rPr>
      </w:pPr>
      <w:r w:rsidRPr="0003762F">
        <w:rPr>
          <w:rFonts w:ascii="Arial" w:eastAsia="Arial Unicode MS" w:hAnsi="Arial" w:cs="Arial"/>
          <w:b/>
          <w:sz w:val="10"/>
          <w:szCs w:val="22"/>
          <w:lang w:val="es-ES" w:eastAsia="ar-SA"/>
        </w:rPr>
        <w:t xml:space="preserve">             </w:t>
      </w:r>
      <w:r w:rsidRPr="0003762F">
        <w:rPr>
          <w:rFonts w:ascii="Arial" w:eastAsia="Arial Unicode MS" w:hAnsi="Arial" w:cs="Arial"/>
          <w:sz w:val="10"/>
          <w:szCs w:val="22"/>
          <w:lang w:val="es-ES" w:eastAsia="ar-SA"/>
        </w:rPr>
        <w:t>Subgerente Administrativo</w:t>
      </w:r>
    </w:p>
    <w:p w14:paraId="34C21F97" w14:textId="77777777" w:rsidR="00D80B8E" w:rsidRPr="0003762F" w:rsidRDefault="00D80B8E" w:rsidP="00D80B8E">
      <w:pPr>
        <w:rPr>
          <w:rFonts w:ascii="Arial" w:hAnsi="Arial" w:cs="Arial"/>
          <w:sz w:val="10"/>
          <w:szCs w:val="22"/>
        </w:rPr>
      </w:pPr>
      <w:r w:rsidRPr="0003762F">
        <w:rPr>
          <w:rFonts w:ascii="Arial" w:hAnsi="Arial" w:cs="Arial"/>
          <w:b/>
          <w:sz w:val="10"/>
          <w:szCs w:val="22"/>
        </w:rPr>
        <w:t>Elaboró: MARCO AURELIO ANTOLINEZ G.</w:t>
      </w:r>
    </w:p>
    <w:p w14:paraId="1642AD10" w14:textId="77777777" w:rsidR="00D80B8E" w:rsidRPr="0003762F" w:rsidRDefault="00D80B8E" w:rsidP="00D80B8E">
      <w:pPr>
        <w:rPr>
          <w:rFonts w:ascii="Arial" w:hAnsi="Arial" w:cs="Arial"/>
          <w:sz w:val="10"/>
          <w:szCs w:val="22"/>
        </w:rPr>
      </w:pPr>
      <w:r w:rsidRPr="0003762F">
        <w:rPr>
          <w:rFonts w:ascii="Arial" w:hAnsi="Arial" w:cs="Arial"/>
          <w:sz w:val="10"/>
          <w:szCs w:val="22"/>
        </w:rPr>
        <w:t xml:space="preserve">               Profesional Universitario 06</w:t>
      </w:r>
    </w:p>
    <w:p w14:paraId="16F6040D" w14:textId="77777777" w:rsidR="00265436" w:rsidRPr="0003762F" w:rsidRDefault="00265436" w:rsidP="00D80B8E">
      <w:pPr>
        <w:overflowPunct w:val="0"/>
        <w:autoSpaceDE w:val="0"/>
        <w:autoSpaceDN w:val="0"/>
        <w:adjustRightInd w:val="0"/>
        <w:textAlignment w:val="baseline"/>
        <w:rPr>
          <w:sz w:val="20"/>
        </w:rPr>
      </w:pPr>
    </w:p>
    <w:sectPr w:rsidR="00265436" w:rsidRPr="0003762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558D" w14:textId="77777777" w:rsidR="009A7F5B" w:rsidRDefault="009A7F5B">
      <w:r>
        <w:separator/>
      </w:r>
    </w:p>
  </w:endnote>
  <w:endnote w:type="continuationSeparator" w:id="0">
    <w:p w14:paraId="17293639" w14:textId="77777777" w:rsidR="009A7F5B" w:rsidRDefault="009A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006" w14:textId="77777777"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C2343" w:rsidRPr="003C234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C2343" w:rsidRPr="003C2343">
      <w:rPr>
        <w:b/>
        <w:bCs/>
        <w:noProof/>
        <w:lang w:val="es-ES"/>
      </w:rPr>
      <w:t>2</w:t>
    </w:r>
    <w:r>
      <w:rPr>
        <w:b/>
        <w:bCs/>
      </w:rPr>
      <w:fldChar w:fldCharType="end"/>
    </w:r>
  </w:p>
  <w:p w14:paraId="114A5263" w14:textId="77777777" w:rsidR="008F787F" w:rsidRDefault="00FC39BB" w:rsidP="008F787F">
    <w:pPr>
      <w:pStyle w:val="Piedepgina"/>
      <w:ind w:left="-709"/>
      <w:jc w:val="right"/>
    </w:pPr>
    <w:r>
      <w:rPr>
        <w:noProof/>
        <w:lang w:val="es-CO" w:eastAsia="es-CO"/>
      </w:rPr>
      <w:drawing>
        <wp:inline distT="0" distB="0" distL="0" distR="0" wp14:anchorId="7BB35E8C" wp14:editId="2B3F2CE7">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4111" w14:textId="77777777" w:rsidR="009A7F5B" w:rsidRDefault="009A7F5B">
      <w:r>
        <w:separator/>
      </w:r>
    </w:p>
  </w:footnote>
  <w:footnote w:type="continuationSeparator" w:id="0">
    <w:p w14:paraId="04D36403" w14:textId="77777777" w:rsidR="009A7F5B" w:rsidRDefault="009A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A97D" w14:textId="77777777" w:rsidR="008F787F" w:rsidRDefault="00FC39BB" w:rsidP="008F787F">
    <w:pPr>
      <w:pStyle w:val="Encabezado"/>
      <w:ind w:hanging="993"/>
    </w:pPr>
    <w:r>
      <w:rPr>
        <w:noProof/>
        <w:lang w:val="es-CO" w:eastAsia="es-CO"/>
      </w:rPr>
      <w:drawing>
        <wp:inline distT="0" distB="0" distL="0" distR="0" wp14:anchorId="4F82FEDE" wp14:editId="6F78787E">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47"/>
    <w:rsid w:val="0003762F"/>
    <w:rsid w:val="00086681"/>
    <w:rsid w:val="000F3A3F"/>
    <w:rsid w:val="00265436"/>
    <w:rsid w:val="002A4730"/>
    <w:rsid w:val="00300573"/>
    <w:rsid w:val="003C2343"/>
    <w:rsid w:val="00402035"/>
    <w:rsid w:val="004255D0"/>
    <w:rsid w:val="004E6747"/>
    <w:rsid w:val="004F65FE"/>
    <w:rsid w:val="005109FC"/>
    <w:rsid w:val="00552D59"/>
    <w:rsid w:val="0062260D"/>
    <w:rsid w:val="006E44E6"/>
    <w:rsid w:val="00705BEE"/>
    <w:rsid w:val="007D2D8F"/>
    <w:rsid w:val="0088738D"/>
    <w:rsid w:val="009A7F5B"/>
    <w:rsid w:val="00B215C8"/>
    <w:rsid w:val="00C7657A"/>
    <w:rsid w:val="00CE0564"/>
    <w:rsid w:val="00D150CF"/>
    <w:rsid w:val="00D56A4C"/>
    <w:rsid w:val="00D7547B"/>
    <w:rsid w:val="00D80B8E"/>
    <w:rsid w:val="00D9546B"/>
    <w:rsid w:val="00E505F1"/>
    <w:rsid w:val="00E85D22"/>
    <w:rsid w:val="00EC63D3"/>
    <w:rsid w:val="00F306B5"/>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D07"/>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6</cp:revision>
  <cp:lastPrinted>2022-04-07T15:40:00Z</cp:lastPrinted>
  <dcterms:created xsi:type="dcterms:W3CDTF">2021-06-25T15:10:00Z</dcterms:created>
  <dcterms:modified xsi:type="dcterms:W3CDTF">2022-04-07T15:41:00Z</dcterms:modified>
</cp:coreProperties>
</file>