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5C" w:rsidRPr="00893763" w:rsidRDefault="007D445C" w:rsidP="007D445C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 w:rsidR="001719B5">
        <w:rPr>
          <w:rFonts w:ascii="Arial" w:hAnsi="Arial" w:cs="Arial"/>
          <w:lang w:val="es-MX"/>
        </w:rPr>
        <w:t>6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diciembre </w:t>
      </w:r>
      <w:r w:rsidRPr="00893763">
        <w:rPr>
          <w:rFonts w:ascii="Arial" w:hAnsi="Arial" w:cs="Arial"/>
          <w:lang w:val="es-MX"/>
        </w:rPr>
        <w:t xml:space="preserve">de 2021 </w:t>
      </w:r>
    </w:p>
    <w:p w:rsidR="007D445C" w:rsidRPr="00893763" w:rsidRDefault="007D445C" w:rsidP="007D445C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D445C" w:rsidRPr="00893763" w:rsidRDefault="007D445C" w:rsidP="007D445C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7D445C" w:rsidRPr="00893763" w:rsidRDefault="007D445C" w:rsidP="007D445C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>
        <w:rPr>
          <w:rFonts w:ascii="Arial" w:hAnsi="Arial" w:cs="Arial"/>
          <w:b/>
          <w:bCs/>
          <w:lang w:val="es-MX"/>
        </w:rPr>
        <w:t>1</w:t>
      </w:r>
      <w:r>
        <w:rPr>
          <w:rFonts w:ascii="Arial" w:hAnsi="Arial" w:cs="Arial"/>
          <w:b/>
          <w:bCs/>
          <w:lang w:val="es-MX"/>
        </w:rPr>
        <w:t>6</w:t>
      </w:r>
      <w:r w:rsidRPr="00893763">
        <w:rPr>
          <w:rFonts w:ascii="Arial" w:hAnsi="Arial" w:cs="Arial"/>
          <w:b/>
          <w:bCs/>
          <w:lang w:val="es-MX"/>
        </w:rPr>
        <w:t xml:space="preserve"> DE  2021</w:t>
      </w:r>
    </w:p>
    <w:p w:rsidR="007D445C" w:rsidRPr="00893763" w:rsidRDefault="007D445C" w:rsidP="007D445C">
      <w:pPr>
        <w:rPr>
          <w:rFonts w:ascii="Arial" w:hAnsi="Arial" w:cs="Arial"/>
          <w:b/>
          <w:caps/>
          <w:lang w:val="es-MX"/>
        </w:rPr>
      </w:pPr>
    </w:p>
    <w:p w:rsidR="007D445C" w:rsidRPr="00D35388" w:rsidRDefault="007D445C" w:rsidP="007D445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 xml:space="preserve">CONTRATAR UN PERSONA JURÍDICA O INTEGRACIÓN LEGALMENTE CONSTITUIDA CON REPRESENTACIÓN JURÍDICA Y CAPACIDAD PARA REALIZAR TRANSACCIONES COMERCIALES ESTABLECIENDO UN VÍNCULO CON LA EMPRESA DE LICORES DE CUNDINAMARCA (EN ADELANTE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E.L.C.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 xml:space="preserve">), COMPRANDO DE FORMA PERIÓDICA LOS PRODUCTOS FABRICADOS DE LA MISMA PARA LA POSTERIOR VENTA Y COMERCIALIZACIÓN EN EL TERRITORIO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PANAMEÑO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7D445C" w:rsidRPr="00D35388" w:rsidRDefault="007D445C" w:rsidP="007D445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D445C" w:rsidRPr="00893763" w:rsidRDefault="007D445C" w:rsidP="007D445C">
      <w:pPr>
        <w:ind w:left="993" w:hanging="993"/>
        <w:jc w:val="both"/>
        <w:rPr>
          <w:rFonts w:ascii="Arial" w:hAnsi="Arial" w:cs="Arial"/>
        </w:rPr>
      </w:pPr>
    </w:p>
    <w:p w:rsidR="007D445C" w:rsidRPr="00893763" w:rsidRDefault="007D445C" w:rsidP="007D445C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las observaciones presentadas por los posibles oferentes 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7D445C" w:rsidRPr="00893763" w:rsidRDefault="007D445C" w:rsidP="007D445C">
      <w:pPr>
        <w:jc w:val="both"/>
        <w:rPr>
          <w:rFonts w:ascii="Arial" w:eastAsia="Tahoma" w:hAnsi="Arial" w:cs="Arial"/>
        </w:rPr>
      </w:pPr>
    </w:p>
    <w:p w:rsidR="007D445C" w:rsidRPr="00893763" w:rsidRDefault="007D445C" w:rsidP="007D445C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 0</w:t>
      </w:r>
      <w:r>
        <w:rPr>
          <w:rFonts w:ascii="Arial" w:hAnsi="Arial" w:cs="Arial"/>
          <w:bCs/>
        </w:rPr>
        <w:t>16</w:t>
      </w:r>
      <w:r w:rsidRPr="00893763">
        <w:rPr>
          <w:rFonts w:ascii="Arial" w:hAnsi="Arial" w:cs="Arial"/>
          <w:bCs/>
        </w:rPr>
        <w:t xml:space="preserve">   de 2021 así: </w:t>
      </w:r>
    </w:p>
    <w:p w:rsidR="007D445C" w:rsidRPr="00893763" w:rsidRDefault="007D445C" w:rsidP="007D445C">
      <w:pPr>
        <w:snapToGrid w:val="0"/>
        <w:jc w:val="center"/>
        <w:rPr>
          <w:rFonts w:ascii="Arial" w:hAnsi="Arial" w:cs="Arial"/>
          <w:b/>
          <w:bCs/>
        </w:rPr>
      </w:pPr>
    </w:p>
    <w:p w:rsidR="007D445C" w:rsidRDefault="007D445C" w:rsidP="007D445C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2B328E" w:rsidRDefault="002B328E" w:rsidP="007D445C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9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856"/>
        <w:gridCol w:w="3828"/>
      </w:tblGrid>
      <w:tr w:rsidR="002B328E" w:rsidRPr="00D35388" w:rsidTr="00BA717E">
        <w:trPr>
          <w:trHeight w:val="474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35388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35388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2B328E" w:rsidRPr="00D35388" w:rsidTr="00BA717E">
        <w:trPr>
          <w:trHeight w:val="182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de noviembre 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2B328E" w:rsidRPr="00D35388" w:rsidTr="00BA717E">
        <w:trPr>
          <w:trHeight w:val="367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 xml:space="preserve">Solicitud de aclaraciones 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24 de noviembre  hasta el 2 de diciembre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5388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5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sandra.cubillos@licoreracundinamarca.com</w:t>
              </w:r>
            </w:hyperlink>
            <w:r w:rsidRPr="00D35388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:rsidR="002B328E" w:rsidRPr="00D35388" w:rsidRDefault="002B328E" w:rsidP="00C02AF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6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diana.arango@licoreracundinamarca.com.co</w:t>
              </w:r>
            </w:hyperlink>
          </w:p>
        </w:tc>
      </w:tr>
      <w:tr w:rsidR="002B328E" w:rsidRPr="00D35388" w:rsidTr="00BA717E">
        <w:trPr>
          <w:trHeight w:val="143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Respuesta aclaraciones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de diciembre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2B328E" w:rsidRPr="00D35388" w:rsidTr="00BA717E">
        <w:trPr>
          <w:trHeight w:val="143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 xml:space="preserve">Expedición de Adendas </w:t>
            </w:r>
          </w:p>
        </w:tc>
        <w:tc>
          <w:tcPr>
            <w:tcW w:w="2856" w:type="dxa"/>
            <w:vAlign w:val="center"/>
          </w:tcPr>
          <w:p w:rsidR="002B328E" w:rsidRPr="00D35388" w:rsidRDefault="002F1D8B" w:rsidP="002F1D8B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B328E">
              <w:rPr>
                <w:sz w:val="22"/>
                <w:szCs w:val="22"/>
              </w:rPr>
              <w:t xml:space="preserve"> de diciembre de 2021 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2B328E" w:rsidRPr="00D35388" w:rsidTr="00BA717E">
        <w:trPr>
          <w:trHeight w:val="229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Fecha recepción de documentos de las ofertas</w:t>
            </w:r>
          </w:p>
        </w:tc>
        <w:tc>
          <w:tcPr>
            <w:tcW w:w="2856" w:type="dxa"/>
            <w:vAlign w:val="center"/>
          </w:tcPr>
          <w:p w:rsidR="002B328E" w:rsidRPr="00D35388" w:rsidRDefault="002F1D8B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B328E">
              <w:rPr>
                <w:sz w:val="22"/>
                <w:szCs w:val="22"/>
              </w:rPr>
              <w:t xml:space="preserve"> de diciembre de 2021 a las 10:00 am 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t>Oficina de Gestión Contractual de la E.L.C</w:t>
            </w:r>
          </w:p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lastRenderedPageBreak/>
              <w:t>En la Autopista Medellín Kilómetro 3.8 vía Siberia - Cota.</w:t>
            </w:r>
          </w:p>
        </w:tc>
      </w:tr>
      <w:tr w:rsidR="002B328E" w:rsidRPr="00D35388" w:rsidTr="00BA717E">
        <w:trPr>
          <w:trHeight w:val="633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lastRenderedPageBreak/>
              <w:t>Verificación jurídica, financiera, económica y técnica de las ofertas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2F1D8B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Desde el </w:t>
            </w:r>
            <w:r w:rsidR="002F1D8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de diciembre  hasta el </w:t>
            </w:r>
            <w:r w:rsidR="002F1D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de diciembre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D35388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2B328E" w:rsidRPr="00D35388" w:rsidTr="00BA717E">
        <w:trPr>
          <w:trHeight w:val="311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856" w:type="dxa"/>
            <w:vAlign w:val="center"/>
          </w:tcPr>
          <w:p w:rsidR="002B328E" w:rsidRPr="00D35388" w:rsidRDefault="00F94D90" w:rsidP="00F94D90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B328E">
              <w:rPr>
                <w:sz w:val="22"/>
                <w:szCs w:val="22"/>
              </w:rPr>
              <w:t xml:space="preserve"> de diciembre de 2021</w:t>
            </w:r>
          </w:p>
        </w:tc>
        <w:tc>
          <w:tcPr>
            <w:tcW w:w="3828" w:type="dxa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Pr="00D35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328E" w:rsidRPr="00D35388" w:rsidTr="00BA717E">
        <w:trPr>
          <w:trHeight w:val="71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F94D90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Desde el </w:t>
            </w:r>
            <w:r w:rsidR="00F94D90">
              <w:rPr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 xml:space="preserve">hasta el </w:t>
            </w:r>
            <w:r w:rsidR="00F94D9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de diciembre 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0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sandra.cubillos@licoreracundinamarca.com</w:t>
              </w:r>
            </w:hyperlink>
            <w:r w:rsidRPr="00D35388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:rsidR="002B328E" w:rsidRPr="00D35388" w:rsidRDefault="002B328E" w:rsidP="00C02AF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1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diana.arango@licoreracundinamarca.com.co</w:t>
              </w:r>
            </w:hyperlink>
          </w:p>
        </w:tc>
      </w:tr>
      <w:tr w:rsidR="002B328E" w:rsidRPr="00D35388" w:rsidTr="00BA717E">
        <w:trPr>
          <w:trHeight w:val="104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F94D90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17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 diciembre de 2021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Pr="00D35388">
              <w:rPr>
                <w:rFonts w:ascii="Arial" w:hAnsi="Arial" w:cs="Arial"/>
                <w:sz w:val="22"/>
                <w:szCs w:val="22"/>
              </w:rPr>
              <w:t xml:space="preserve"> o medio físico o Vía correo electrónico</w:t>
            </w:r>
          </w:p>
        </w:tc>
      </w:tr>
      <w:tr w:rsidR="002B328E" w:rsidRPr="00D35388" w:rsidTr="00BA717E">
        <w:trPr>
          <w:trHeight w:val="289"/>
        </w:trPr>
        <w:tc>
          <w:tcPr>
            <w:tcW w:w="2262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Contrato</w:t>
            </w:r>
          </w:p>
        </w:tc>
        <w:tc>
          <w:tcPr>
            <w:tcW w:w="2856" w:type="dxa"/>
            <w:vAlign w:val="center"/>
          </w:tcPr>
          <w:p w:rsidR="002B328E" w:rsidRPr="00D35388" w:rsidRDefault="002B328E" w:rsidP="00C02AFE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Dentro de los dos (2) días siguientes.</w:t>
            </w:r>
          </w:p>
        </w:tc>
        <w:tc>
          <w:tcPr>
            <w:tcW w:w="3828" w:type="dxa"/>
            <w:vAlign w:val="center"/>
          </w:tcPr>
          <w:p w:rsidR="002B328E" w:rsidRPr="00D35388" w:rsidRDefault="002B328E" w:rsidP="00C02A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88">
              <w:rPr>
                <w:rFonts w:ascii="Arial" w:hAnsi="Arial" w:cs="Arial"/>
                <w:sz w:val="22"/>
                <w:szCs w:val="22"/>
              </w:rPr>
              <w:t>Oficina de Gestión Contractual</w:t>
            </w:r>
          </w:p>
        </w:tc>
      </w:tr>
    </w:tbl>
    <w:p w:rsidR="002B328E" w:rsidRDefault="002B328E" w:rsidP="007D445C">
      <w:pPr>
        <w:snapToGrid w:val="0"/>
        <w:jc w:val="center"/>
        <w:rPr>
          <w:rFonts w:ascii="Arial" w:hAnsi="Arial" w:cs="Arial"/>
          <w:b/>
          <w:bCs/>
        </w:rPr>
      </w:pPr>
    </w:p>
    <w:p w:rsidR="007D445C" w:rsidRPr="00893763" w:rsidRDefault="007D445C" w:rsidP="007D445C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 w:rsidR="002B328E">
        <w:rPr>
          <w:rFonts w:ascii="Arial" w:eastAsia="Arial" w:hAnsi="Arial" w:cs="Arial"/>
        </w:rPr>
        <w:t>16</w:t>
      </w:r>
      <w:r w:rsidRPr="00893763">
        <w:rPr>
          <w:rFonts w:ascii="Arial" w:eastAsia="Arial" w:hAnsi="Arial" w:cs="Arial"/>
        </w:rPr>
        <w:t xml:space="preserve"> - 2021   no modificadas en la presente Adenda, permanecen inalterables</w:t>
      </w:r>
    </w:p>
    <w:p w:rsidR="007D445C" w:rsidRPr="00893763" w:rsidRDefault="007D445C" w:rsidP="007D445C">
      <w:pPr>
        <w:autoSpaceDE w:val="0"/>
        <w:rPr>
          <w:rFonts w:ascii="Arial" w:hAnsi="Arial" w:cs="Arial"/>
        </w:rPr>
      </w:pPr>
    </w:p>
    <w:p w:rsidR="007D445C" w:rsidRPr="00893763" w:rsidRDefault="007D445C" w:rsidP="007D445C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>
        <w:rPr>
          <w:rFonts w:ascii="Arial" w:eastAsia="Arial" w:hAnsi="Arial" w:cs="Arial"/>
        </w:rPr>
        <w:t>s</w:t>
      </w:r>
      <w:r w:rsidR="001719B5">
        <w:rPr>
          <w:rFonts w:ascii="Arial" w:eastAsia="Arial" w:hAnsi="Arial" w:cs="Arial"/>
        </w:rPr>
        <w:t>eis</w:t>
      </w:r>
      <w:r w:rsidR="002B328E">
        <w:rPr>
          <w:rFonts w:ascii="Arial" w:eastAsia="Arial" w:hAnsi="Arial" w:cs="Arial"/>
        </w:rPr>
        <w:t xml:space="preserve"> (0</w:t>
      </w:r>
      <w:r w:rsidR="001719B5">
        <w:rPr>
          <w:rFonts w:ascii="Arial" w:eastAsia="Arial" w:hAnsi="Arial" w:cs="Arial"/>
        </w:rPr>
        <w:t>6</w:t>
      </w:r>
      <w:bookmarkStart w:id="8" w:name="_GoBack"/>
      <w:bookmarkEnd w:id="8"/>
      <w:r w:rsidRPr="00893763">
        <w:rPr>
          <w:rFonts w:ascii="Arial" w:eastAsia="Arial" w:hAnsi="Arial" w:cs="Arial"/>
        </w:rPr>
        <w:t xml:space="preserve">) días del mes de </w:t>
      </w:r>
      <w:r>
        <w:rPr>
          <w:rFonts w:ascii="Arial" w:eastAsia="Arial" w:hAnsi="Arial" w:cs="Arial"/>
        </w:rPr>
        <w:t xml:space="preserve">diciembre </w:t>
      </w:r>
      <w:r w:rsidRPr="00893763">
        <w:rPr>
          <w:rFonts w:ascii="Arial" w:eastAsia="Arial" w:hAnsi="Arial" w:cs="Arial"/>
        </w:rPr>
        <w:t xml:space="preserve">del dos mil veintiuno (2021). </w:t>
      </w:r>
    </w:p>
    <w:p w:rsidR="007D445C" w:rsidRPr="00893763" w:rsidRDefault="007D445C" w:rsidP="007D445C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7D445C" w:rsidRPr="00893763" w:rsidRDefault="007D445C" w:rsidP="007D445C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(Original Firmado)</w:t>
      </w:r>
    </w:p>
    <w:p w:rsidR="007D445C" w:rsidRPr="00893763" w:rsidRDefault="007D445C" w:rsidP="007D445C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893763">
        <w:rPr>
          <w:rFonts w:ascii="Arial" w:eastAsia="Arial" w:hAnsi="Arial" w:cs="Arial"/>
          <w:b/>
        </w:rPr>
        <w:t>JORGE ENRIQUE MACHUCA LÓPEZ</w:t>
      </w:r>
    </w:p>
    <w:p w:rsidR="007D445C" w:rsidRPr="00893763" w:rsidRDefault="007D445C" w:rsidP="007D445C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</w:p>
    <w:p w:rsidR="007D445C" w:rsidRPr="00893763" w:rsidRDefault="007D445C" w:rsidP="007D445C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7D445C" w:rsidRPr="002F0EBD" w:rsidRDefault="007D445C" w:rsidP="007D445C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(Original Firmado)       </w:t>
      </w:r>
    </w:p>
    <w:p w:rsidR="007D445C" w:rsidRPr="002F0EBD" w:rsidRDefault="007D445C" w:rsidP="007D445C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MAURICIO JAVIER CEDEÑO GUTIERREZ</w:t>
      </w:r>
    </w:p>
    <w:p w:rsidR="007D445C" w:rsidRPr="002F0EBD" w:rsidRDefault="007D445C" w:rsidP="007D445C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 xml:space="preserve">Subgerente </w:t>
      </w:r>
      <w:r>
        <w:rPr>
          <w:rFonts w:ascii="Arial" w:hAnsi="Arial" w:cs="Arial"/>
          <w:sz w:val="18"/>
        </w:rPr>
        <w:t>Comercial</w:t>
      </w:r>
    </w:p>
    <w:p w:rsidR="007D445C" w:rsidRPr="002F0EBD" w:rsidRDefault="007D445C" w:rsidP="007D445C">
      <w:pPr>
        <w:rPr>
          <w:rFonts w:ascii="Arial" w:eastAsia="Tahoma" w:hAnsi="Arial" w:cs="Arial"/>
          <w:b/>
          <w:bCs/>
          <w:sz w:val="18"/>
        </w:rPr>
      </w:pPr>
    </w:p>
    <w:p w:rsidR="007D445C" w:rsidRPr="002F0EBD" w:rsidRDefault="007D445C" w:rsidP="007D445C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</w:p>
    <w:p w:rsidR="007D445C" w:rsidRPr="002F0EBD" w:rsidRDefault="007D445C" w:rsidP="007D445C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7D445C" w:rsidRPr="002F0EBD" w:rsidRDefault="007D445C" w:rsidP="00BA717E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Asesora Jurídica y Contractual </w:t>
      </w:r>
    </w:p>
    <w:p w:rsidR="007D445C" w:rsidRPr="00893763" w:rsidRDefault="007D445C" w:rsidP="007D445C">
      <w:pPr>
        <w:rPr>
          <w:rFonts w:ascii="Arial" w:hAnsi="Arial" w:cs="Arial"/>
          <w:b/>
          <w:lang w:val="es-ES"/>
        </w:rPr>
      </w:pPr>
    </w:p>
    <w:sectPr w:rsidR="007D445C" w:rsidRPr="00893763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B1535E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4B424614" wp14:editId="4887599D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B1535E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F349D3F" wp14:editId="10814BB6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C"/>
    <w:rsid w:val="001719B5"/>
    <w:rsid w:val="002B328E"/>
    <w:rsid w:val="002F1D8B"/>
    <w:rsid w:val="007D445C"/>
    <w:rsid w:val="009722B6"/>
    <w:rsid w:val="00AB3BB9"/>
    <w:rsid w:val="00B1535E"/>
    <w:rsid w:val="00BA717E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E53D"/>
  <w15:chartTrackingRefBased/>
  <w15:docId w15:val="{25802209-B58E-477B-BE8E-234BBBF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5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7D4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7D445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7D445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7D445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7D445C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7D445C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ana.arango@licoreracundinamarca.com.co" TargetMode="External"/><Relationship Id="rId11" Type="http://schemas.openxmlformats.org/officeDocument/2006/relationships/hyperlink" Target="mailto:magda.casta&#241;eda@licoreracundinamarca.com.co" TargetMode="External"/><Relationship Id="rId5" Type="http://schemas.openxmlformats.org/officeDocument/2006/relationships/hyperlink" Target="mailto:%20sandra.cubillos@licoreracundinamarc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marca.com" TargetMode="Externa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2021-12-09T12:44:00Z</dcterms:created>
  <dcterms:modified xsi:type="dcterms:W3CDTF">2021-12-09T12:53:00Z</dcterms:modified>
</cp:coreProperties>
</file>