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49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sz w:val="20"/>
        </w:rPr>
        <w:t xml:space="preserve">Cota Cundinamarca, </w:t>
      </w:r>
      <w:r w:rsidR="00E92850">
        <w:rPr>
          <w:rFonts w:ascii="Arial" w:hAnsi="Arial" w:cs="Arial"/>
          <w:sz w:val="20"/>
        </w:rPr>
        <w:t>0</w:t>
      </w:r>
      <w:r w:rsidR="00DB6881">
        <w:rPr>
          <w:rFonts w:ascii="Arial" w:hAnsi="Arial" w:cs="Arial"/>
          <w:sz w:val="20"/>
        </w:rPr>
        <w:t>8</w:t>
      </w:r>
      <w:r w:rsidR="00E92850">
        <w:rPr>
          <w:rFonts w:ascii="Arial" w:hAnsi="Arial" w:cs="Arial"/>
          <w:sz w:val="20"/>
        </w:rPr>
        <w:t xml:space="preserve"> </w:t>
      </w:r>
      <w:r w:rsidRPr="00A57620">
        <w:rPr>
          <w:rFonts w:ascii="Arial" w:hAnsi="Arial" w:cs="Arial"/>
          <w:sz w:val="20"/>
        </w:rPr>
        <w:t>de Marzo de 202</w:t>
      </w:r>
      <w:r w:rsidR="00E92850">
        <w:rPr>
          <w:rFonts w:ascii="Arial" w:hAnsi="Arial" w:cs="Arial"/>
          <w:sz w:val="20"/>
        </w:rPr>
        <w:t>1</w:t>
      </w:r>
    </w:p>
    <w:p w:rsidR="00E92850" w:rsidRDefault="00E92850" w:rsidP="00650A49">
      <w:pPr>
        <w:pStyle w:val="Encabezado"/>
        <w:jc w:val="both"/>
        <w:rPr>
          <w:rFonts w:ascii="Arial" w:hAnsi="Arial" w:cs="Arial"/>
          <w:sz w:val="20"/>
        </w:rPr>
      </w:pPr>
    </w:p>
    <w:p w:rsidR="00E92850" w:rsidRPr="00A57620" w:rsidRDefault="00E92850" w:rsidP="00650A49">
      <w:pPr>
        <w:pStyle w:val="Encabezado"/>
        <w:jc w:val="both"/>
        <w:rPr>
          <w:rFonts w:ascii="Arial" w:hAnsi="Arial" w:cs="Arial"/>
          <w:sz w:val="20"/>
        </w:rPr>
      </w:pPr>
    </w:p>
    <w:p w:rsidR="00650A49" w:rsidRPr="00A57620" w:rsidRDefault="00650A49" w:rsidP="00650A49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0"/>
          <w:szCs w:val="22"/>
          <w:lang w:val="es-CO"/>
        </w:rPr>
      </w:pPr>
      <w:r w:rsidRPr="00A57620">
        <w:rPr>
          <w:rFonts w:ascii="Arial" w:eastAsia="Tahoma" w:hAnsi="Arial" w:cs="Arial"/>
          <w:b w:val="0"/>
          <w:bCs w:val="0"/>
          <w:sz w:val="20"/>
          <w:szCs w:val="22"/>
          <w:lang w:val="es-CO"/>
        </w:rPr>
        <w:t>Señores</w:t>
      </w: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bCs/>
          <w:sz w:val="20"/>
        </w:rPr>
      </w:pPr>
      <w:r w:rsidRPr="00A57620">
        <w:rPr>
          <w:rFonts w:ascii="Arial" w:hAnsi="Arial" w:cs="Arial"/>
          <w:b/>
          <w:bCs/>
          <w:sz w:val="20"/>
        </w:rPr>
        <w:t>INTERESADOS INVITACIÓN ABIERTA No. 00</w:t>
      </w:r>
      <w:r w:rsidR="00E92850">
        <w:rPr>
          <w:rFonts w:ascii="Arial" w:hAnsi="Arial" w:cs="Arial"/>
          <w:b/>
          <w:bCs/>
          <w:sz w:val="20"/>
        </w:rPr>
        <w:t>6 de 2021</w:t>
      </w:r>
    </w:p>
    <w:p w:rsidR="00650A49" w:rsidRPr="00A57620" w:rsidRDefault="00650A49" w:rsidP="00650A49">
      <w:pPr>
        <w:jc w:val="both"/>
        <w:rPr>
          <w:rFonts w:ascii="Arial" w:eastAsia="Tahoma" w:hAnsi="Arial" w:cs="Arial"/>
          <w:sz w:val="20"/>
          <w:szCs w:val="22"/>
          <w:lang w:val="es-CO"/>
        </w:rPr>
      </w:pPr>
      <w:r w:rsidRPr="00A57620">
        <w:rPr>
          <w:rFonts w:ascii="Arial" w:eastAsia="Tahoma" w:hAnsi="Arial" w:cs="Arial"/>
          <w:sz w:val="20"/>
          <w:szCs w:val="22"/>
          <w:lang w:val="es-CO"/>
        </w:rPr>
        <w:t>Ciudad</w:t>
      </w: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:rsidR="00650A49" w:rsidRPr="00E04A53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  <w:r w:rsidRPr="00A57620">
        <w:rPr>
          <w:rFonts w:ascii="Arial" w:hAnsi="Arial" w:cs="Arial"/>
          <w:b/>
          <w:sz w:val="20"/>
        </w:rPr>
        <w:t xml:space="preserve">Referencia: </w:t>
      </w:r>
      <w:r w:rsidR="00E04A53" w:rsidRPr="00E04A53">
        <w:rPr>
          <w:rFonts w:ascii="Arial" w:hAnsi="Arial" w:cs="Arial"/>
          <w:b/>
          <w:sz w:val="20"/>
        </w:rPr>
        <w:t>RESPUESTA OBSERVACIÓN DE EVALUACIÓN INVITACIÓN ABIERTA NO. 006 DE 2021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Respetados Señores:</w:t>
      </w:r>
    </w:p>
    <w:p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La EMPRESA DE LICORES DE CUNDINAMARCA se permite precisar que conforme a la evaluación realizada en los aspectos JURIDICOS, TECNICOS, DE EXPERIENCIA Y FINANCIEROS, y conforme al plazo con el que cuenten los oferentes para subsanar se ha establecido el siguiente resultado con su debida validación y subsanación para participar en la subasta:</w:t>
      </w:r>
    </w:p>
    <w:p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A57620" w:rsidRDefault="00DB6881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DB6881">
        <w:rPr>
          <w:noProof/>
          <w:lang w:val="es-CO" w:eastAsia="es-CO"/>
        </w:rPr>
        <w:drawing>
          <wp:inline distT="0" distB="0" distL="0" distR="0">
            <wp:extent cx="5743575" cy="186051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42" cy="186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C8" w:rsidRDefault="00DA54C8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>Cordialmente,</w:t>
      </w:r>
    </w:p>
    <w:p w:rsidR="005823F3" w:rsidRDefault="005823F3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DB6881" w:rsidRPr="00A57620" w:rsidRDefault="00DB6881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CO"/>
        </w:rPr>
      </w:pPr>
      <w:r w:rsidRPr="00A57620">
        <w:rPr>
          <w:rFonts w:ascii="Arial" w:hAnsi="Arial" w:cs="Arial"/>
          <w:b/>
          <w:sz w:val="20"/>
          <w:szCs w:val="22"/>
          <w:lang w:val="es-CO"/>
        </w:rPr>
        <w:t>SANDRA MILENA CUBILLOS GONZALEZ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 xml:space="preserve">Jefe </w:t>
      </w:r>
      <w:r w:rsidR="005823F3">
        <w:rPr>
          <w:rFonts w:ascii="Arial" w:hAnsi="Arial" w:cs="Arial"/>
          <w:sz w:val="20"/>
          <w:szCs w:val="22"/>
          <w:lang w:val="es-CO"/>
        </w:rPr>
        <w:t>Oficina Asesora Jurídica y Contratación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</w:p>
    <w:p w:rsidR="00650A49" w:rsidRPr="00DB6881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>Proyecto: MARCO AURELIO ANTOLINEZ GUITARRERO</w:t>
      </w:r>
    </w:p>
    <w:p w:rsidR="003F0E80" w:rsidRPr="00DB6881" w:rsidRDefault="00650A49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 xml:space="preserve">                 </w:t>
      </w:r>
      <w:r w:rsidR="005823F3" w:rsidRPr="00DB6881">
        <w:rPr>
          <w:rFonts w:ascii="Arial" w:hAnsi="Arial" w:cs="Arial"/>
          <w:sz w:val="12"/>
          <w:szCs w:val="22"/>
          <w:lang w:val="es-CO"/>
        </w:rPr>
        <w:t>Profesional Grado 06</w:t>
      </w:r>
      <w:r w:rsidRPr="00DB6881">
        <w:rPr>
          <w:rFonts w:ascii="Arial" w:hAnsi="Arial" w:cs="Arial"/>
          <w:sz w:val="16"/>
          <w:szCs w:val="22"/>
          <w:lang w:val="es-CO"/>
        </w:rPr>
        <w:t>.</w:t>
      </w:r>
    </w:p>
    <w:p w:rsidR="00755AB2" w:rsidRDefault="00755AB2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2"/>
          <w:lang w:val="es-CO"/>
        </w:rPr>
      </w:pPr>
    </w:p>
    <w:p w:rsidR="00755AB2" w:rsidRDefault="00755AB2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2"/>
          <w:lang w:val="es-CO"/>
        </w:rPr>
      </w:pPr>
    </w:p>
    <w:p w:rsidR="00755AB2" w:rsidRDefault="00755AB2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2"/>
          <w:lang w:val="es-CO"/>
        </w:rPr>
      </w:pPr>
    </w:p>
    <w:tbl>
      <w:tblPr>
        <w:tblStyle w:val="Tablaconcuadrcul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45"/>
        <w:gridCol w:w="7278"/>
      </w:tblGrid>
      <w:tr w:rsidR="00755AB2" w:rsidRPr="001432A6" w:rsidTr="00F305E0">
        <w:tc>
          <w:tcPr>
            <w:tcW w:w="1315" w:type="dxa"/>
            <w:hideMark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rPr>
                <w:rFonts w:ascii="Arial" w:hAnsi="Arial" w:cs="Arial"/>
              </w:rPr>
            </w:pPr>
            <w:r w:rsidRPr="001432A6">
              <w:rPr>
                <w:rFonts w:ascii="Arial" w:hAnsi="Arial" w:cs="Arial"/>
              </w:rPr>
              <w:lastRenderedPageBreak/>
              <w:t>FECHA:</w:t>
            </w:r>
          </w:p>
        </w:tc>
        <w:tc>
          <w:tcPr>
            <w:tcW w:w="245" w:type="dxa"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78" w:type="dxa"/>
            <w:hideMark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Cota, Cundinamarca Marzo 05</w:t>
            </w:r>
            <w:r w:rsidRPr="001432A6">
              <w:rPr>
                <w:rFonts w:ascii="Arial" w:hAnsi="Arial" w:cs="Arial"/>
              </w:rPr>
              <w:t xml:space="preserve"> de 2021</w:t>
            </w:r>
          </w:p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55AB2" w:rsidRPr="001432A6" w:rsidTr="00F305E0">
        <w:tc>
          <w:tcPr>
            <w:tcW w:w="1315" w:type="dxa"/>
            <w:hideMark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rPr>
                <w:rFonts w:ascii="Arial" w:hAnsi="Arial" w:cs="Arial"/>
              </w:rPr>
            </w:pPr>
            <w:r w:rsidRPr="001432A6">
              <w:rPr>
                <w:rFonts w:ascii="Arial" w:hAnsi="Arial" w:cs="Arial"/>
              </w:rPr>
              <w:t>PARA:</w:t>
            </w:r>
          </w:p>
        </w:tc>
        <w:tc>
          <w:tcPr>
            <w:tcW w:w="245" w:type="dxa"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78" w:type="dxa"/>
            <w:hideMark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432A6">
              <w:rPr>
                <w:rFonts w:ascii="Arial" w:hAnsi="Arial" w:cs="Arial"/>
              </w:rPr>
              <w:t>Jefe de Oficina Jurídica y Contratación Gestión Contractual: Dra. Sandra Milena Cubillos González</w:t>
            </w:r>
          </w:p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55AB2" w:rsidRPr="001432A6" w:rsidTr="00F305E0">
        <w:tc>
          <w:tcPr>
            <w:tcW w:w="1315" w:type="dxa"/>
            <w:hideMark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rPr>
                <w:rFonts w:ascii="Arial" w:hAnsi="Arial" w:cs="Arial"/>
              </w:rPr>
            </w:pPr>
            <w:r w:rsidRPr="001432A6">
              <w:rPr>
                <w:rFonts w:ascii="Arial" w:hAnsi="Arial" w:cs="Arial"/>
              </w:rPr>
              <w:t>DE:</w:t>
            </w:r>
          </w:p>
        </w:tc>
        <w:tc>
          <w:tcPr>
            <w:tcW w:w="245" w:type="dxa"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78" w:type="dxa"/>
            <w:hideMark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432A6">
              <w:rPr>
                <w:rFonts w:ascii="Arial" w:hAnsi="Arial" w:cs="Arial"/>
              </w:rPr>
              <w:t>Subgerente Financiera</w:t>
            </w:r>
          </w:p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55AB2" w:rsidRPr="001432A6" w:rsidTr="00F305E0">
        <w:tc>
          <w:tcPr>
            <w:tcW w:w="1315" w:type="dxa"/>
            <w:hideMark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rPr>
                <w:rFonts w:ascii="Arial" w:hAnsi="Arial" w:cs="Arial"/>
              </w:rPr>
            </w:pPr>
            <w:r w:rsidRPr="001432A6">
              <w:rPr>
                <w:rFonts w:ascii="Arial" w:hAnsi="Arial" w:cs="Arial"/>
              </w:rPr>
              <w:t>ASUNTO:</w:t>
            </w:r>
          </w:p>
        </w:tc>
        <w:tc>
          <w:tcPr>
            <w:tcW w:w="245" w:type="dxa"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78" w:type="dxa"/>
            <w:hideMark/>
          </w:tcPr>
          <w:p w:rsidR="00755AB2" w:rsidRPr="001432A6" w:rsidRDefault="00755AB2" w:rsidP="00F305E0">
            <w:pPr>
              <w:tabs>
                <w:tab w:val="left" w:pos="675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432A6">
              <w:rPr>
                <w:rFonts w:ascii="Arial" w:hAnsi="Arial" w:cs="Arial"/>
              </w:rPr>
              <w:t>INVITACIÓN ABIERTA No 006 DE 2021, “</w:t>
            </w:r>
            <w:r w:rsidRPr="001432A6">
              <w:rPr>
                <w:rFonts w:ascii="Arial" w:hAnsi="Arial" w:cs="Arial"/>
                <w:bCs/>
                <w:color w:val="000000"/>
              </w:rPr>
              <w:t>SUMINISTRO DE REPUESTOS ELECTRONICOS, ELECTRICOS, SENSORES, ELEMENTOS NEUMATICOS, ELECTRO-NEUMATICOS, INSTRUMENTACION INDUSTRIAL, FERRETERIA INDUSTRIAL Y REPARACION BOBINADOS MOTORES ELECTRICOS UTILIZADOS PARA EL MANTENIMIENTO INDUSTRIAL DE LA SALA DE ENVASADO.</w:t>
            </w:r>
            <w:r w:rsidRPr="001432A6">
              <w:rPr>
                <w:rFonts w:ascii="Arial" w:hAnsi="Arial" w:cs="Arial"/>
              </w:rPr>
              <w:t>”.</w:t>
            </w:r>
          </w:p>
        </w:tc>
      </w:tr>
    </w:tbl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>Respetada Doctora:</w:t>
      </w:r>
    </w:p>
    <w:p w:rsidR="00755AB2" w:rsidRDefault="00755AB2" w:rsidP="00755AB2">
      <w:pPr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>De acuerdo con lo solicitado en el Comité de evaluación</w:t>
      </w:r>
      <w:r>
        <w:rPr>
          <w:rFonts w:ascii="Arial" w:hAnsi="Arial" w:cs="Arial"/>
        </w:rPr>
        <w:t xml:space="preserve"> y la empresa SETEFER, nos permitimos realizar nuevamente la </w:t>
      </w:r>
      <w:r w:rsidRPr="001432A6">
        <w:rPr>
          <w:rFonts w:ascii="Arial" w:hAnsi="Arial" w:cs="Arial"/>
        </w:rPr>
        <w:t>evaluación</w:t>
      </w:r>
      <w:r>
        <w:rPr>
          <w:rFonts w:ascii="Arial" w:hAnsi="Arial" w:cs="Arial"/>
        </w:rPr>
        <w:t xml:space="preserve"> financiera</w:t>
      </w:r>
      <w:r w:rsidRPr="001432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los nuevos datos de los estados financieros del mes de septiembre de 2020, suministrados por la empresa SETEFER, teniendo en cuenta lo anterior, </w:t>
      </w:r>
      <w:r w:rsidRPr="001432A6">
        <w:rPr>
          <w:rFonts w:ascii="Arial" w:hAnsi="Arial" w:cs="Arial"/>
        </w:rPr>
        <w:t>se procede a analizar los requisitos financieros de la invitación abierta No. 006 de 2021, así:</w:t>
      </w:r>
    </w:p>
    <w:p w:rsidR="00E04A53" w:rsidRPr="001432A6" w:rsidRDefault="00E04A53" w:rsidP="00755AB2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755AB2" w:rsidRPr="001432A6" w:rsidRDefault="00755AB2" w:rsidP="00755AB2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1432A6">
        <w:rPr>
          <w:rFonts w:ascii="Arial" w:hAnsi="Arial" w:cs="Arial"/>
          <w:b/>
        </w:rPr>
        <w:t>SETEFER</w:t>
      </w:r>
    </w:p>
    <w:p w:rsidR="00755AB2" w:rsidRPr="001432A6" w:rsidRDefault="00755AB2" w:rsidP="00755AB2">
      <w:pPr>
        <w:pStyle w:val="Sinespaciado"/>
        <w:spacing w:line="276" w:lineRule="auto"/>
        <w:ind w:left="1080"/>
        <w:jc w:val="both"/>
        <w:rPr>
          <w:rFonts w:ascii="Arial" w:hAnsi="Arial" w:cs="Arial"/>
          <w:b/>
        </w:rPr>
      </w:pPr>
    </w:p>
    <w:p w:rsidR="00755AB2" w:rsidRPr="001432A6" w:rsidRDefault="00755AB2" w:rsidP="00755AB2">
      <w:pPr>
        <w:pStyle w:val="Sinespaciado"/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>La presente evaluación tiene por objeto determinar la calificación de los proponentes teniendo en cuenta lo señalado en la Invitación Abierta No. 006  de 2021: Los requisitos financieros que se exigirán en la presente invitación como requisito de verificación ( cumple/No cumple ) son aquellos necesarios para determinar que el oferente o el miembro del consorcio o Unión temporal cuenta con la capacidad financiera necesaria y suficiente para celebrar y ejecutar el contrato que surge como consecuencia del proceso.</w:t>
      </w:r>
    </w:p>
    <w:p w:rsidR="00755AB2" w:rsidRPr="001432A6" w:rsidRDefault="00755AB2" w:rsidP="00755AB2">
      <w:pPr>
        <w:pStyle w:val="Sinespaciado"/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 xml:space="preserve"> 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>De acuerdo con lo solicitado en el Comité de evaluación, se procede a analizar los requisitos financieros de la invitación abierta No. 006 de 2021, así:</w:t>
      </w:r>
    </w:p>
    <w:p w:rsidR="00755AB2" w:rsidRPr="001432A6" w:rsidRDefault="00755AB2" w:rsidP="00755AB2">
      <w:pPr>
        <w:pStyle w:val="Prrafodelista"/>
        <w:numPr>
          <w:ilvl w:val="0"/>
          <w:numId w:val="2"/>
        </w:numPr>
        <w:tabs>
          <w:tab w:val="center" w:pos="4419"/>
        </w:tabs>
        <w:spacing w:after="235" w:line="276" w:lineRule="auto"/>
        <w:jc w:val="both"/>
        <w:rPr>
          <w:rFonts w:ascii="Arial" w:hAnsi="Arial" w:cs="Arial"/>
          <w:b/>
        </w:rPr>
      </w:pPr>
      <w:r w:rsidRPr="001432A6">
        <w:rPr>
          <w:rFonts w:ascii="Arial" w:hAnsi="Arial" w:cs="Arial"/>
          <w:b/>
        </w:rPr>
        <w:t xml:space="preserve">CAPACIDAD FINANCIERA 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>Para estos efectos, el proponente debe presentar información financiera con corte no anterior a</w:t>
      </w:r>
      <w:r>
        <w:rPr>
          <w:rFonts w:ascii="Arial" w:hAnsi="Arial" w:cs="Arial"/>
        </w:rPr>
        <w:t>l 31 de Diciembre de 2019</w:t>
      </w:r>
      <w:r w:rsidRPr="001432A6">
        <w:rPr>
          <w:rFonts w:ascii="Arial" w:hAnsi="Arial" w:cs="Arial"/>
        </w:rPr>
        <w:t xml:space="preserve">. Si la empresa cuenta con RUP vigente podrá presentarlo siempre y cuando la información financiera haya sido reportada a la fecha mencionada. 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>La capacidad financiera del proponente solo es objeto de verificación y en el evento de que no cumpla con el requerimiento de los indicadores financieros, no podrá ser adjudicatario de este proceso y la oferta será calificada como NO CUMPLE. Cuando el proponente o integrante de un consorcio o unión temporal sea persona natural o jurídica de origen extranjero sin domicilio y/o sucursal establecida en Colombia, presentará para efectos de la verificación de la Capacidad Financiera, el último balance general y el estado de resultados de conformidad con la legislación del respectivo país; esta información debe presentarse en moneda colombiana, como lo señalan los artículos 50 y 51 del Decreto 2649 de 1993 y demás normas que lo modifiquen, adicionen o sustituyan.</w:t>
      </w:r>
    </w:p>
    <w:p w:rsidR="00755AB2" w:rsidRDefault="00755AB2" w:rsidP="00755AB2">
      <w:pPr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>Fueron presentados de acuerdo a lo especificado así:</w:t>
      </w:r>
    </w:p>
    <w:p w:rsidR="00755AB2" w:rsidRDefault="00755AB2" w:rsidP="00755AB2">
      <w:pPr>
        <w:pStyle w:val="Sinespaciado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1432A6">
        <w:rPr>
          <w:rFonts w:ascii="Arial" w:hAnsi="Arial" w:cs="Arial"/>
          <w:b/>
        </w:rPr>
        <w:t>EVALUACIÓN DE DOCUMENTOS</w:t>
      </w:r>
    </w:p>
    <w:p w:rsidR="00755AB2" w:rsidRPr="001432A6" w:rsidRDefault="00755AB2" w:rsidP="00755AB2">
      <w:pPr>
        <w:pStyle w:val="Sinespaciado"/>
        <w:spacing w:line="276" w:lineRule="auto"/>
        <w:ind w:left="644"/>
        <w:rPr>
          <w:rFonts w:ascii="Arial" w:hAnsi="Arial" w:cs="Arial"/>
          <w:b/>
        </w:rPr>
      </w:pPr>
    </w:p>
    <w:p w:rsidR="00755AB2" w:rsidRPr="001432A6" w:rsidRDefault="00755AB2" w:rsidP="00755AB2">
      <w:pPr>
        <w:pStyle w:val="Sinespaciado"/>
        <w:tabs>
          <w:tab w:val="left" w:pos="6570"/>
        </w:tabs>
        <w:spacing w:line="276" w:lineRule="auto"/>
        <w:jc w:val="center"/>
        <w:rPr>
          <w:rFonts w:ascii="Arial" w:hAnsi="Arial" w:cs="Arial"/>
          <w:b/>
        </w:rPr>
      </w:pPr>
      <w:r w:rsidRPr="00BE7E64">
        <w:rPr>
          <w:noProof/>
          <w:lang w:val="es-CO" w:eastAsia="es-CO"/>
        </w:rPr>
        <w:drawing>
          <wp:inline distT="0" distB="0" distL="0" distR="0" wp14:anchorId="5B7EAC57" wp14:editId="25A6643E">
            <wp:extent cx="4962293" cy="1371600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86" cy="13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B2" w:rsidRPr="001432A6" w:rsidRDefault="00755AB2" w:rsidP="00755AB2">
      <w:pPr>
        <w:pStyle w:val="Sinespaciado"/>
        <w:spacing w:line="276" w:lineRule="auto"/>
        <w:jc w:val="center"/>
        <w:rPr>
          <w:rFonts w:ascii="Arial" w:hAnsi="Arial" w:cs="Arial"/>
          <w:b/>
        </w:rPr>
      </w:pPr>
    </w:p>
    <w:p w:rsidR="00755AB2" w:rsidRPr="001432A6" w:rsidRDefault="00755AB2" w:rsidP="00755AB2">
      <w:pPr>
        <w:pStyle w:val="Sinespaciado"/>
        <w:spacing w:line="276" w:lineRule="auto"/>
        <w:rPr>
          <w:rFonts w:ascii="Arial" w:hAnsi="Arial" w:cs="Arial"/>
          <w:b/>
        </w:rPr>
      </w:pPr>
    </w:p>
    <w:p w:rsidR="00755AB2" w:rsidRPr="001432A6" w:rsidRDefault="00755AB2" w:rsidP="00755AB2">
      <w:pPr>
        <w:pStyle w:val="Sinespaciado"/>
        <w:spacing w:line="276" w:lineRule="auto"/>
        <w:jc w:val="center"/>
        <w:rPr>
          <w:rFonts w:ascii="Arial" w:hAnsi="Arial" w:cs="Arial"/>
          <w:b/>
        </w:rPr>
      </w:pPr>
    </w:p>
    <w:p w:rsidR="00755AB2" w:rsidRPr="001432A6" w:rsidRDefault="00755AB2" w:rsidP="00755AB2">
      <w:pPr>
        <w:pStyle w:val="Sinespaciado"/>
        <w:spacing w:line="276" w:lineRule="auto"/>
        <w:rPr>
          <w:rFonts w:ascii="Arial" w:hAnsi="Arial" w:cs="Arial"/>
          <w:b/>
        </w:rPr>
      </w:pPr>
    </w:p>
    <w:p w:rsidR="00755AB2" w:rsidRPr="001432A6" w:rsidRDefault="00755AB2" w:rsidP="00755AB2">
      <w:pPr>
        <w:pStyle w:val="Prrafodelista"/>
        <w:numPr>
          <w:ilvl w:val="0"/>
          <w:numId w:val="1"/>
        </w:numPr>
        <w:spacing w:after="235" w:line="276" w:lineRule="auto"/>
        <w:jc w:val="both"/>
        <w:rPr>
          <w:rFonts w:ascii="Arial" w:hAnsi="Arial" w:cs="Arial"/>
          <w:b/>
          <w:color w:val="000000" w:themeColor="text1"/>
        </w:rPr>
      </w:pPr>
      <w:r w:rsidRPr="001432A6">
        <w:rPr>
          <w:rFonts w:ascii="Arial" w:hAnsi="Arial" w:cs="Arial"/>
          <w:b/>
        </w:rPr>
        <w:t>INDICADORES FINANCIEROS</w:t>
      </w:r>
    </w:p>
    <w:p w:rsidR="00755AB2" w:rsidRDefault="00755AB2" w:rsidP="00755A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432A6">
        <w:rPr>
          <w:rFonts w:ascii="Arial" w:hAnsi="Arial" w:cs="Arial"/>
          <w:color w:val="000000" w:themeColor="text1"/>
        </w:rPr>
        <w:t>Se evaluarán los siguientes indicadores financieros de acuerdo a lo establecido en la Invitación Abierta 006 de 2021: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55AB2" w:rsidRPr="001432A6" w:rsidRDefault="00755AB2" w:rsidP="00755AB2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1432A6">
        <w:rPr>
          <w:rFonts w:ascii="Arial" w:hAnsi="Arial" w:cs="Arial"/>
          <w:noProof/>
          <w:lang w:val="es-CO" w:eastAsia="es-CO"/>
        </w:rPr>
        <w:drawing>
          <wp:inline distT="0" distB="0" distL="0" distR="0" wp14:anchorId="7B6061CE" wp14:editId="3B952062">
            <wp:extent cx="4610100" cy="213870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60" cy="216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B2" w:rsidRPr="001432A6" w:rsidRDefault="00755AB2" w:rsidP="00755AB2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55AB2" w:rsidRPr="001432A6" w:rsidRDefault="00755AB2" w:rsidP="00755AB2">
      <w:pPr>
        <w:spacing w:line="276" w:lineRule="auto"/>
        <w:rPr>
          <w:rFonts w:ascii="Arial" w:hAnsi="Arial" w:cs="Arial"/>
          <w:color w:val="000000" w:themeColor="text1"/>
        </w:rPr>
      </w:pPr>
      <w:r w:rsidRPr="001432A6">
        <w:rPr>
          <w:rFonts w:ascii="Arial" w:hAnsi="Arial" w:cs="Arial"/>
          <w:color w:val="000000" w:themeColor="text1"/>
        </w:rPr>
        <w:t>Se procede a evaluar los indicadores financieros que arrojan el siguiente resultado para cada una de los proponentes:</w:t>
      </w:r>
    </w:p>
    <w:p w:rsidR="00755AB2" w:rsidRPr="001432A6" w:rsidRDefault="00755AB2" w:rsidP="00755AB2">
      <w:pPr>
        <w:spacing w:line="276" w:lineRule="auto"/>
        <w:rPr>
          <w:rFonts w:ascii="Arial" w:hAnsi="Arial" w:cs="Arial"/>
          <w:color w:val="000000" w:themeColor="text1"/>
        </w:rPr>
      </w:pPr>
      <w:r w:rsidRPr="001432A6">
        <w:rPr>
          <w:rFonts w:ascii="Arial" w:hAnsi="Arial" w:cs="Arial"/>
          <w:color w:val="000000" w:themeColor="text1"/>
        </w:rPr>
        <w:br/>
      </w:r>
      <w:r w:rsidRPr="00BE7E64">
        <w:rPr>
          <w:noProof/>
          <w:lang w:val="es-CO" w:eastAsia="es-CO"/>
        </w:rPr>
        <w:drawing>
          <wp:inline distT="0" distB="0" distL="0" distR="0" wp14:anchorId="630835E0" wp14:editId="4D07D041">
            <wp:extent cx="5612130" cy="2108062"/>
            <wp:effectExtent l="0" t="0" r="7620" b="698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 xml:space="preserve">Realizada </w:t>
      </w:r>
      <w:r>
        <w:rPr>
          <w:rFonts w:ascii="Arial" w:hAnsi="Arial" w:cs="Arial"/>
        </w:rPr>
        <w:t xml:space="preserve">nuevamente </w:t>
      </w:r>
      <w:r w:rsidRPr="001432A6">
        <w:rPr>
          <w:rFonts w:ascii="Arial" w:hAnsi="Arial" w:cs="Arial"/>
        </w:rPr>
        <w:t>la verificación financiera de los requisitos establecidos como habilitantes se señala que: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  <w:bCs/>
          <w:color w:val="000000"/>
          <w:lang w:eastAsia="es-CO"/>
        </w:rPr>
      </w:pPr>
      <w:r w:rsidRPr="001432A6">
        <w:rPr>
          <w:rFonts w:ascii="Arial" w:hAnsi="Arial" w:cs="Arial"/>
          <w:b/>
          <w:bCs/>
          <w:color w:val="000000" w:themeColor="text1"/>
        </w:rPr>
        <w:t>SETEFER LTDA c</w:t>
      </w:r>
      <w:r w:rsidRPr="001432A6">
        <w:rPr>
          <w:rFonts w:ascii="Arial" w:hAnsi="Arial" w:cs="Arial"/>
          <w:bCs/>
          <w:color w:val="000000" w:themeColor="text1"/>
        </w:rPr>
        <w:t xml:space="preserve">on NIT 830057749-4 </w:t>
      </w:r>
      <w:r w:rsidRPr="001432A6">
        <w:rPr>
          <w:rFonts w:ascii="Arial" w:hAnsi="Arial" w:cs="Arial"/>
          <w:bCs/>
          <w:color w:val="000000"/>
          <w:lang w:eastAsia="es-CO"/>
        </w:rPr>
        <w:t xml:space="preserve">Presenta la información financiera a </w:t>
      </w:r>
      <w:r>
        <w:rPr>
          <w:rFonts w:ascii="Arial" w:hAnsi="Arial" w:cs="Arial"/>
          <w:bCs/>
          <w:color w:val="000000"/>
          <w:lang w:eastAsia="es-CO"/>
        </w:rPr>
        <w:t>Septiembre</w:t>
      </w:r>
      <w:r w:rsidRPr="001432A6">
        <w:rPr>
          <w:rFonts w:ascii="Arial" w:hAnsi="Arial" w:cs="Arial"/>
          <w:bCs/>
          <w:color w:val="000000"/>
          <w:lang w:eastAsia="es-CO"/>
        </w:rPr>
        <w:t xml:space="preserve"> 30 de 2020, según estados financieros 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  <w:bCs/>
          <w:color w:val="000000"/>
          <w:lang w:eastAsia="es-CO"/>
        </w:rPr>
      </w:pPr>
    </w:p>
    <w:p w:rsidR="00755AB2" w:rsidRPr="001432A6" w:rsidRDefault="00755AB2" w:rsidP="00755AB2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Razón de Liquidez es de 1,9</w:t>
      </w:r>
      <w:r w:rsidRPr="001432A6">
        <w:rPr>
          <w:rFonts w:ascii="Arial" w:hAnsi="Arial" w:cs="Arial"/>
        </w:rPr>
        <w:t>4  veces</w:t>
      </w:r>
      <w:r w:rsidRPr="001432A6">
        <w:rPr>
          <w:rFonts w:ascii="Arial" w:hAnsi="Arial" w:cs="Arial"/>
        </w:rPr>
        <w:tab/>
        <w:t xml:space="preserve">                     </w:t>
      </w:r>
      <w:r w:rsidRPr="001432A6">
        <w:rPr>
          <w:rFonts w:ascii="Arial" w:hAnsi="Arial" w:cs="Arial"/>
          <w:b/>
        </w:rPr>
        <w:t>(CUMPLE)</w:t>
      </w:r>
      <w:r w:rsidRPr="001432A6">
        <w:rPr>
          <w:rFonts w:ascii="Arial" w:hAnsi="Arial" w:cs="Arial"/>
        </w:rPr>
        <w:t xml:space="preserve">  </w:t>
      </w:r>
    </w:p>
    <w:p w:rsidR="00755AB2" w:rsidRPr="001432A6" w:rsidRDefault="00755AB2" w:rsidP="00755AB2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432A6">
        <w:rPr>
          <w:rFonts w:ascii="Arial" w:hAnsi="Arial" w:cs="Arial"/>
        </w:rPr>
        <w:t>Capital de Trabajo: $</w:t>
      </w:r>
      <w:r>
        <w:rPr>
          <w:rFonts w:ascii="Arial" w:hAnsi="Arial" w:cs="Arial"/>
        </w:rPr>
        <w:t>754.657.754</w:t>
      </w:r>
      <w:r w:rsidRPr="001432A6">
        <w:rPr>
          <w:rFonts w:ascii="Arial" w:hAnsi="Arial" w:cs="Arial"/>
        </w:rPr>
        <w:tab/>
      </w:r>
      <w:r w:rsidRPr="001432A6">
        <w:rPr>
          <w:rFonts w:ascii="Arial" w:hAnsi="Arial" w:cs="Arial"/>
        </w:rPr>
        <w:tab/>
      </w:r>
      <w:r w:rsidRPr="001432A6">
        <w:rPr>
          <w:rFonts w:ascii="Arial" w:hAnsi="Arial" w:cs="Arial"/>
        </w:rPr>
        <w:tab/>
        <w:t xml:space="preserve">          </w:t>
      </w:r>
      <w:r w:rsidRPr="001432A6">
        <w:rPr>
          <w:rFonts w:ascii="Arial" w:hAnsi="Arial" w:cs="Arial"/>
          <w:b/>
        </w:rPr>
        <w:t>(CUMPLE)</w:t>
      </w:r>
    </w:p>
    <w:p w:rsidR="00755AB2" w:rsidRPr="001432A6" w:rsidRDefault="00755AB2" w:rsidP="00755AB2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1432A6">
        <w:rPr>
          <w:rFonts w:ascii="Arial" w:hAnsi="Arial" w:cs="Arial"/>
        </w:rPr>
        <w:t xml:space="preserve">El índice de Endeudamiento de </w:t>
      </w:r>
      <w:r>
        <w:rPr>
          <w:rFonts w:ascii="Arial" w:hAnsi="Arial" w:cs="Arial"/>
        </w:rPr>
        <w:t>61</w:t>
      </w:r>
      <w:r w:rsidRPr="001432A6">
        <w:rPr>
          <w:rFonts w:ascii="Arial" w:hAnsi="Arial" w:cs="Arial"/>
        </w:rPr>
        <w:t xml:space="preserve">%   </w:t>
      </w:r>
      <w:r w:rsidRPr="001432A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</w:t>
      </w:r>
      <w:r w:rsidRPr="001432A6">
        <w:rPr>
          <w:rFonts w:ascii="Arial" w:hAnsi="Arial" w:cs="Arial"/>
        </w:rPr>
        <w:t xml:space="preserve">     </w:t>
      </w:r>
      <w:r w:rsidRPr="001432A6">
        <w:rPr>
          <w:rFonts w:ascii="Arial" w:hAnsi="Arial" w:cs="Arial"/>
          <w:b/>
        </w:rPr>
        <w:t>(CUMPLE)</w:t>
      </w:r>
    </w:p>
    <w:p w:rsidR="00755AB2" w:rsidRPr="001432A6" w:rsidRDefault="00755AB2" w:rsidP="00755AB2">
      <w:pPr>
        <w:pStyle w:val="Sinespaciado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755AB2" w:rsidRPr="001432A6" w:rsidRDefault="00755AB2" w:rsidP="00755AB2">
      <w:pPr>
        <w:pStyle w:val="Sinespaciado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Teniendo </w:t>
      </w:r>
      <w:r w:rsidRPr="001432A6">
        <w:rPr>
          <w:rFonts w:ascii="Arial" w:hAnsi="Arial" w:cs="Arial"/>
          <w:color w:val="000000" w:themeColor="text1"/>
        </w:rPr>
        <w:t>en cuenta el análisis anterior el proponente: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432A6">
        <w:rPr>
          <w:rFonts w:ascii="Arial" w:hAnsi="Arial" w:cs="Arial"/>
          <w:b/>
          <w:color w:val="000000" w:themeColor="text1"/>
        </w:rPr>
        <w:t>SETEFER LTDA</w:t>
      </w:r>
      <w:r w:rsidRPr="001432A6">
        <w:rPr>
          <w:rFonts w:ascii="Arial" w:hAnsi="Arial" w:cs="Arial"/>
          <w:color w:val="000000" w:themeColor="text1"/>
        </w:rPr>
        <w:t xml:space="preserve"> con NIT 830057749-4</w:t>
      </w:r>
      <w:r>
        <w:rPr>
          <w:rFonts w:ascii="Arial" w:hAnsi="Arial" w:cs="Arial"/>
          <w:color w:val="000000" w:themeColor="text1"/>
        </w:rPr>
        <w:t>, se encuentra HABILITADO</w:t>
      </w:r>
      <w:r w:rsidRPr="001432A6">
        <w:rPr>
          <w:rFonts w:ascii="Arial" w:hAnsi="Arial" w:cs="Arial"/>
          <w:color w:val="000000" w:themeColor="text1"/>
        </w:rPr>
        <w:t xml:space="preserve"> con lo establecido en la invitación abierta No 006 de 2021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432A6">
        <w:rPr>
          <w:rFonts w:ascii="Arial" w:hAnsi="Arial" w:cs="Arial"/>
          <w:color w:val="000000" w:themeColor="text1"/>
        </w:rPr>
        <w:t xml:space="preserve"> 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432A6">
        <w:rPr>
          <w:rFonts w:ascii="Arial" w:hAnsi="Arial" w:cs="Arial"/>
          <w:color w:val="000000" w:themeColor="text1"/>
        </w:rPr>
        <w:t>Cordi</w:t>
      </w:r>
      <w:bookmarkStart w:id="0" w:name="_GoBack"/>
      <w:bookmarkEnd w:id="0"/>
      <w:r w:rsidRPr="001432A6">
        <w:rPr>
          <w:rFonts w:ascii="Arial" w:hAnsi="Arial" w:cs="Arial"/>
          <w:color w:val="000000" w:themeColor="text1"/>
        </w:rPr>
        <w:t>almente,</w:t>
      </w:r>
    </w:p>
    <w:p w:rsidR="00755AB2" w:rsidRPr="001432A6" w:rsidRDefault="00755AB2" w:rsidP="00755AB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55AB2" w:rsidRDefault="00755AB2" w:rsidP="00755AB2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755AB2" w:rsidRPr="00E04A53" w:rsidRDefault="00E04A53" w:rsidP="00755AB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04A53">
        <w:rPr>
          <w:rFonts w:ascii="Arial" w:hAnsi="Arial" w:cs="Arial"/>
          <w:color w:val="000000" w:themeColor="text1"/>
        </w:rPr>
        <w:t>(Original Firmado)</w:t>
      </w:r>
    </w:p>
    <w:p w:rsidR="00755AB2" w:rsidRPr="001432A6" w:rsidRDefault="00755AB2" w:rsidP="00755AB2">
      <w:pPr>
        <w:pStyle w:val="Sinespaciado"/>
        <w:spacing w:line="276" w:lineRule="auto"/>
        <w:rPr>
          <w:rFonts w:ascii="Arial" w:hAnsi="Arial" w:cs="Arial"/>
          <w:b/>
        </w:rPr>
      </w:pPr>
      <w:r w:rsidRPr="001432A6">
        <w:rPr>
          <w:rFonts w:ascii="Arial" w:hAnsi="Arial" w:cs="Arial"/>
          <w:b/>
        </w:rPr>
        <w:t>RUTH MARINA NOVOA HERRERA</w:t>
      </w:r>
    </w:p>
    <w:p w:rsidR="00755AB2" w:rsidRDefault="00755AB2" w:rsidP="00755AB2">
      <w:pPr>
        <w:pStyle w:val="Sinespaciado"/>
        <w:rPr>
          <w:rFonts w:ascii="Arial" w:hAnsi="Arial" w:cs="Arial"/>
        </w:rPr>
      </w:pPr>
      <w:r w:rsidRPr="00F26C73">
        <w:rPr>
          <w:rFonts w:ascii="Arial" w:hAnsi="Arial" w:cs="Arial"/>
        </w:rPr>
        <w:t>Subgerente Financiera</w:t>
      </w:r>
    </w:p>
    <w:p w:rsidR="00755AB2" w:rsidRDefault="00755AB2" w:rsidP="00755AB2">
      <w:pPr>
        <w:pStyle w:val="Sinespaciado"/>
        <w:rPr>
          <w:rFonts w:ascii="Arial" w:hAnsi="Arial" w:cs="Arial"/>
        </w:rPr>
      </w:pPr>
    </w:p>
    <w:p w:rsidR="00755AB2" w:rsidRDefault="00755AB2" w:rsidP="00755AB2">
      <w:pPr>
        <w:pStyle w:val="Sinespaciado"/>
        <w:rPr>
          <w:rFonts w:ascii="Arial" w:hAnsi="Arial" w:cs="Arial"/>
        </w:rPr>
      </w:pPr>
    </w:p>
    <w:p w:rsidR="00755AB2" w:rsidRDefault="00755AB2" w:rsidP="00755AB2">
      <w:pPr>
        <w:pStyle w:val="Sinespaciado"/>
        <w:rPr>
          <w:rFonts w:ascii="Arial" w:hAnsi="Arial" w:cs="Arial"/>
          <w:sz w:val="16"/>
          <w:szCs w:val="16"/>
        </w:rPr>
      </w:pPr>
      <w:r w:rsidRPr="00871BAA">
        <w:rPr>
          <w:rFonts w:ascii="Arial" w:hAnsi="Arial" w:cs="Arial"/>
          <w:sz w:val="16"/>
          <w:szCs w:val="16"/>
        </w:rPr>
        <w:t xml:space="preserve">Proyecto: </w:t>
      </w:r>
      <w:r>
        <w:rPr>
          <w:rFonts w:ascii="Arial" w:hAnsi="Arial" w:cs="Arial"/>
          <w:sz w:val="16"/>
          <w:szCs w:val="16"/>
        </w:rPr>
        <w:t>Johana A. Valderrama T.</w:t>
      </w:r>
    </w:p>
    <w:p w:rsidR="00755AB2" w:rsidRPr="00116DC9" w:rsidRDefault="00755AB2" w:rsidP="00755AB2">
      <w:pPr>
        <w:pStyle w:val="Sinespaciad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Profesional de Apoyo</w:t>
      </w:r>
      <w:r>
        <w:rPr>
          <w:sz w:val="16"/>
          <w:szCs w:val="16"/>
        </w:rPr>
        <w:t xml:space="preserve">  </w:t>
      </w:r>
    </w:p>
    <w:p w:rsidR="00755AB2" w:rsidRPr="00A57620" w:rsidRDefault="00755AB2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2"/>
          <w:lang w:val="es-CO"/>
        </w:rPr>
      </w:pPr>
    </w:p>
    <w:sectPr w:rsidR="00755AB2" w:rsidRPr="00A5762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E3" w:rsidRDefault="00E64BE3">
      <w:r>
        <w:separator/>
      </w:r>
    </w:p>
  </w:endnote>
  <w:endnote w:type="continuationSeparator" w:id="0">
    <w:p w:rsidR="00E64BE3" w:rsidRDefault="00E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DA54C8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64BE3" w:rsidRPr="00E64BE3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64BE3" w:rsidRPr="00E64BE3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:rsidR="007F78CA" w:rsidRDefault="00DA54C8" w:rsidP="007F78CA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6EC074D3" wp14:editId="684EB43E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E3" w:rsidRDefault="00E64BE3">
      <w:r>
        <w:separator/>
      </w:r>
    </w:p>
  </w:footnote>
  <w:footnote w:type="continuationSeparator" w:id="0">
    <w:p w:rsidR="00E64BE3" w:rsidRDefault="00E6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E64BE3" w:rsidP="0052376E">
    <w:pPr>
      <w:pStyle w:val="Encabezado"/>
      <w:ind w:hanging="993"/>
      <w:rPr>
        <w:noProof/>
        <w:lang w:eastAsia="es-CO"/>
      </w:rPr>
    </w:pPr>
  </w:p>
  <w:p w:rsidR="00205FFC" w:rsidRDefault="00DA54C8" w:rsidP="000B6F98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2C8F77DB" wp14:editId="16F5CCDA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1B"/>
    <w:multiLevelType w:val="hybridMultilevel"/>
    <w:tmpl w:val="D3E8EC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D5AE1"/>
    <w:multiLevelType w:val="hybridMultilevel"/>
    <w:tmpl w:val="D4DECDC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36DE"/>
    <w:multiLevelType w:val="hybridMultilevel"/>
    <w:tmpl w:val="19D8E866"/>
    <w:lvl w:ilvl="0" w:tplc="158E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93683"/>
    <w:multiLevelType w:val="hybridMultilevel"/>
    <w:tmpl w:val="0B0C45B2"/>
    <w:lvl w:ilvl="0" w:tplc="2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9"/>
    <w:rsid w:val="003E76E6"/>
    <w:rsid w:val="003F0E80"/>
    <w:rsid w:val="005823F3"/>
    <w:rsid w:val="00625573"/>
    <w:rsid w:val="00650A49"/>
    <w:rsid w:val="00755AB2"/>
    <w:rsid w:val="00A57620"/>
    <w:rsid w:val="00C549CF"/>
    <w:rsid w:val="00DA54C8"/>
    <w:rsid w:val="00DB6881"/>
    <w:rsid w:val="00E04A53"/>
    <w:rsid w:val="00E64BE3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0457"/>
  <w15:chartTrackingRefBased/>
  <w15:docId w15:val="{899487CE-FF00-4747-9A89-36254B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0A49"/>
  </w:style>
  <w:style w:type="paragraph" w:styleId="Piedepgina">
    <w:name w:val="footer"/>
    <w:basedOn w:val="Normal"/>
    <w:link w:val="Piedepgina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A49"/>
  </w:style>
  <w:style w:type="paragraph" w:styleId="Sinespaciado">
    <w:name w:val="No Spacing"/>
    <w:uiPriority w:val="1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tulo11">
    <w:name w:val="Título 11"/>
    <w:basedOn w:val="Normal"/>
    <w:next w:val="Normal"/>
    <w:rsid w:val="00650A4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59"/>
    <w:rsid w:val="00650A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55AB2"/>
    <w:pPr>
      <w:ind w:left="720"/>
      <w:contextualSpacing/>
    </w:pPr>
    <w:rPr>
      <w:rFonts w:asciiTheme="minorHAnsi" w:eastAsiaTheme="minorEastAsia" w:hAnsiTheme="minorHAnsi" w:cstheme="minorBidi"/>
      <w:u w:color="000000"/>
    </w:rPr>
  </w:style>
  <w:style w:type="character" w:customStyle="1" w:styleId="PrrafodelistaCar">
    <w:name w:val="Párrafo de lista Car"/>
    <w:link w:val="Prrafodelista"/>
    <w:uiPriority w:val="34"/>
    <w:rsid w:val="00755AB2"/>
    <w:rPr>
      <w:rFonts w:eastAsiaTheme="minorEastAsia"/>
      <w:sz w:val="24"/>
      <w:szCs w:val="24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3</cp:revision>
  <dcterms:created xsi:type="dcterms:W3CDTF">2021-03-08T13:20:00Z</dcterms:created>
  <dcterms:modified xsi:type="dcterms:W3CDTF">2021-03-08T13:21:00Z</dcterms:modified>
</cp:coreProperties>
</file>